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81" w:rsidRPr="008F5D8A" w:rsidRDefault="008F5D8A" w:rsidP="00050B81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  <w:lang w:val="en-US"/>
        </w:rPr>
        <w:t>COURSE OUTLINE</w:t>
      </w:r>
    </w:p>
    <w:p w:rsidR="00050B81" w:rsidRPr="00050B81" w:rsidRDefault="008F5D8A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9"/>
        <w:gridCol w:w="1216"/>
        <w:gridCol w:w="1073"/>
        <w:gridCol w:w="1208"/>
        <w:gridCol w:w="344"/>
        <w:gridCol w:w="1622"/>
      </w:tblGrid>
      <w:tr w:rsidR="00D4231F" w:rsidRPr="001E5CEF" w:rsidTr="007245CC">
        <w:tc>
          <w:tcPr>
            <w:tcW w:w="3009" w:type="dxa"/>
            <w:shd w:val="clear" w:color="auto" w:fill="DDD9C3" w:themeFill="background2" w:themeFillShade="E6"/>
          </w:tcPr>
          <w:p w:rsidR="00D4231F" w:rsidRPr="000976A0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5463" w:type="dxa"/>
            <w:gridSpan w:val="5"/>
          </w:tcPr>
          <w:p w:rsidR="00D4231F" w:rsidRPr="00D4231F" w:rsidRDefault="00D4231F" w:rsidP="00D4231F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GB"/>
              </w:rPr>
            </w:pPr>
            <w:r w:rsidRPr="00987670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GB"/>
              </w:rPr>
              <w:t>School of Classics and Humanities</w:t>
            </w:r>
          </w:p>
        </w:tc>
      </w:tr>
      <w:tr w:rsidR="00D4231F" w:rsidRPr="00050B81" w:rsidTr="007245CC">
        <w:tc>
          <w:tcPr>
            <w:tcW w:w="3009" w:type="dxa"/>
            <w:shd w:val="clear" w:color="auto" w:fill="DDD9C3" w:themeFill="background2" w:themeFillShade="E6"/>
          </w:tcPr>
          <w:p w:rsidR="00D4231F" w:rsidRPr="000976A0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5463" w:type="dxa"/>
            <w:gridSpan w:val="5"/>
          </w:tcPr>
          <w:p w:rsidR="00D4231F" w:rsidRPr="00C17BE0" w:rsidRDefault="00D4231F" w:rsidP="00D4231F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  <w:r w:rsidRPr="006623B0">
              <w:rPr>
                <w:rFonts w:eastAsia="Times New Roman" w:cstheme="minorHAnsi"/>
                <w:color w:val="244061" w:themeColor="accent1" w:themeShade="80"/>
                <w:sz w:val="20"/>
                <w:szCs w:val="20"/>
              </w:rPr>
              <w:t>Department of Greek</w:t>
            </w:r>
            <w:r w:rsidRPr="006623B0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GB"/>
              </w:rPr>
              <w:t xml:space="preserve"> Philology</w:t>
            </w:r>
          </w:p>
        </w:tc>
      </w:tr>
      <w:tr w:rsidR="00D4231F" w:rsidRPr="00050B81" w:rsidTr="007245CC">
        <w:tc>
          <w:tcPr>
            <w:tcW w:w="3009" w:type="dxa"/>
            <w:shd w:val="clear" w:color="auto" w:fill="DDD9C3" w:themeFill="background2" w:themeFillShade="E6"/>
          </w:tcPr>
          <w:p w:rsidR="00D4231F" w:rsidRPr="000976A0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LEVEL OF STUDIES</w:t>
            </w:r>
          </w:p>
        </w:tc>
        <w:tc>
          <w:tcPr>
            <w:tcW w:w="5463" w:type="dxa"/>
            <w:gridSpan w:val="5"/>
          </w:tcPr>
          <w:p w:rsidR="00D4231F" w:rsidRPr="00C17BE0" w:rsidRDefault="00D4231F" w:rsidP="00D4231F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  <w:r w:rsidRPr="006623B0">
              <w:rPr>
                <w:rFonts w:eastAsia="Times New Roman" w:cstheme="minorHAnsi"/>
                <w:color w:val="244061" w:themeColor="accent1" w:themeShade="80"/>
                <w:sz w:val="20"/>
                <w:szCs w:val="20"/>
              </w:rPr>
              <w:t xml:space="preserve">Interdepartmental Postgraduate Program - </w:t>
            </w:r>
            <w:r w:rsidRPr="006623B0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GB"/>
              </w:rPr>
              <w:t>Level</w:t>
            </w:r>
            <w:r w:rsidRPr="006623B0">
              <w:rPr>
                <w:rFonts w:eastAsia="Times New Roman" w:cstheme="minorHAnsi"/>
                <w:color w:val="244061" w:themeColor="accent1" w:themeShade="80"/>
                <w:sz w:val="20"/>
                <w:szCs w:val="20"/>
              </w:rPr>
              <w:t xml:space="preserve"> 7</w:t>
            </w:r>
          </w:p>
        </w:tc>
      </w:tr>
      <w:tr w:rsidR="00D4231F" w:rsidRPr="00050B81" w:rsidTr="007245CC">
        <w:tc>
          <w:tcPr>
            <w:tcW w:w="3009" w:type="dxa"/>
            <w:shd w:val="clear" w:color="auto" w:fill="DDD9C3" w:themeFill="background2" w:themeFillShade="E6"/>
          </w:tcPr>
          <w:p w:rsidR="00D4231F" w:rsidRPr="000976A0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COURSE CODE </w:t>
            </w:r>
          </w:p>
        </w:tc>
        <w:tc>
          <w:tcPr>
            <w:tcW w:w="1216" w:type="dxa"/>
          </w:tcPr>
          <w:p w:rsidR="00D4231F" w:rsidRPr="00F643F8" w:rsidRDefault="00AE4D3F" w:rsidP="00D4231F">
            <w:pPr>
              <w:spacing w:after="0" w:line="240" w:lineRule="auto"/>
              <w:rPr>
                <w:rFonts w:ascii="Calibri" w:eastAsia="Times New Roman" w:hAnsi="Calibri" w:cs="Arial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r w:rsidRPr="00AE4D3F">
              <w:rPr>
                <w:rFonts w:ascii="Calibri" w:eastAsia="Times New Roman" w:hAnsi="Calibri" w:cs="Arial"/>
                <w:b/>
                <w:color w:val="244061" w:themeColor="accent1" w:themeShade="80"/>
                <w:sz w:val="20"/>
                <w:szCs w:val="20"/>
              </w:rPr>
              <w:t>KOM04428</w:t>
            </w:r>
          </w:p>
        </w:tc>
        <w:tc>
          <w:tcPr>
            <w:tcW w:w="2281" w:type="dxa"/>
            <w:gridSpan w:val="2"/>
            <w:shd w:val="clear" w:color="auto" w:fill="DDD9C3" w:themeFill="background2" w:themeFillShade="E6"/>
          </w:tcPr>
          <w:p w:rsidR="00D4231F" w:rsidRPr="000976A0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966" w:type="dxa"/>
            <w:gridSpan w:val="2"/>
          </w:tcPr>
          <w:p w:rsidR="00D4231F" w:rsidRPr="00D4231F" w:rsidRDefault="00F643F8" w:rsidP="00D4231F">
            <w:pPr>
              <w:spacing w:after="0" w:line="240" w:lineRule="auto"/>
              <w:rPr>
                <w:rFonts w:ascii="Calibri" w:eastAsia="Times New Roman" w:hAnsi="Calibri" w:cs="Arial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color w:val="244061" w:themeColor="accent1" w:themeShade="80"/>
                <w:sz w:val="20"/>
                <w:szCs w:val="20"/>
                <w:lang w:val="en-GB"/>
              </w:rPr>
              <w:t>3rd</w:t>
            </w:r>
          </w:p>
        </w:tc>
      </w:tr>
      <w:tr w:rsidR="00D4231F" w:rsidRPr="00DB3F60" w:rsidTr="007245CC">
        <w:trPr>
          <w:trHeight w:val="375"/>
        </w:trPr>
        <w:tc>
          <w:tcPr>
            <w:tcW w:w="3009" w:type="dxa"/>
            <w:shd w:val="clear" w:color="auto" w:fill="DDD9C3" w:themeFill="background2" w:themeFillShade="E6"/>
            <w:vAlign w:val="center"/>
          </w:tcPr>
          <w:p w:rsidR="00D4231F" w:rsidRPr="000976A0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5463" w:type="dxa"/>
            <w:gridSpan w:val="5"/>
            <w:vAlign w:val="center"/>
          </w:tcPr>
          <w:p w:rsidR="00D4231F" w:rsidRPr="00C17BE0" w:rsidRDefault="00AE4D3F" w:rsidP="00D4231F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  <w:r w:rsidRPr="00AE4D3F"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  <w:t>PEDAGOGY OF INTEGRATION</w:t>
            </w:r>
          </w:p>
        </w:tc>
      </w:tr>
      <w:tr w:rsidR="0014231A" w:rsidRPr="00DB3F60" w:rsidTr="007245CC">
        <w:trPr>
          <w:trHeight w:val="375"/>
        </w:trPr>
        <w:tc>
          <w:tcPr>
            <w:tcW w:w="3009" w:type="dxa"/>
            <w:shd w:val="clear" w:color="auto" w:fill="DDD9C3" w:themeFill="background2" w:themeFillShade="E6"/>
            <w:vAlign w:val="center"/>
          </w:tcPr>
          <w:p w:rsidR="0014231A" w:rsidRDefault="0014231A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COORDINATOR</w:t>
            </w:r>
          </w:p>
        </w:tc>
        <w:tc>
          <w:tcPr>
            <w:tcW w:w="5463" w:type="dxa"/>
            <w:gridSpan w:val="5"/>
            <w:vAlign w:val="center"/>
          </w:tcPr>
          <w:p w:rsidR="0014231A" w:rsidRPr="0014231A" w:rsidRDefault="0014231A" w:rsidP="00D4231F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GB"/>
              </w:rPr>
              <w:t>PANAGIOTIS MANTAS</w:t>
            </w:r>
          </w:p>
        </w:tc>
      </w:tr>
      <w:tr w:rsidR="00D4231F" w:rsidRPr="00050B81" w:rsidTr="007245CC">
        <w:trPr>
          <w:trHeight w:val="196"/>
        </w:trPr>
        <w:tc>
          <w:tcPr>
            <w:tcW w:w="5298" w:type="dxa"/>
            <w:gridSpan w:val="3"/>
            <w:shd w:val="clear" w:color="auto" w:fill="DDD9C3" w:themeFill="background2" w:themeFillShade="E6"/>
            <w:vAlign w:val="center"/>
          </w:tcPr>
          <w:p w:rsidR="00D4231F" w:rsidRPr="00FC2190" w:rsidRDefault="00D4231F" w:rsidP="00D4231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ACTIVITIES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If the</w:t>
            </w:r>
            <w:r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ECTS</w:t>
            </w:r>
            <w:r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Credits</w:t>
            </w:r>
            <w:r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are</w:t>
            </w:r>
            <w:r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distributed</w:t>
            </w:r>
            <w:r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in</w:t>
            </w:r>
            <w:r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distinct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parts</w:t>
            </w:r>
            <w:r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of</w:t>
            </w:r>
            <w:r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the</w:t>
            </w:r>
            <w:r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course</w:t>
            </w:r>
            <w:r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e</w:t>
            </w:r>
            <w:r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.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g</w:t>
            </w:r>
            <w:r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lectures</w:t>
            </w:r>
            <w:r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labs</w:t>
            </w:r>
            <w:r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etc</w:t>
            </w:r>
            <w:r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If</w:t>
            </w:r>
            <w:r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the</w:t>
            </w:r>
            <w:r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ECTS</w:t>
            </w:r>
            <w:r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Credits</w:t>
            </w:r>
            <w:r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are</w:t>
            </w:r>
            <w:r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awarded</w:t>
            </w:r>
            <w:r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to the whole</w:t>
            </w:r>
            <w:r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course</w:t>
            </w:r>
            <w:r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then</w:t>
            </w:r>
            <w:r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please indicate the teaching hours per week and the corresponding ECTS Credits.</w:t>
            </w:r>
          </w:p>
        </w:tc>
        <w:tc>
          <w:tcPr>
            <w:tcW w:w="1552" w:type="dxa"/>
            <w:gridSpan w:val="2"/>
            <w:shd w:val="clear" w:color="auto" w:fill="DDD9C3" w:themeFill="background2" w:themeFillShade="E6"/>
            <w:vAlign w:val="center"/>
          </w:tcPr>
          <w:p w:rsidR="00D4231F" w:rsidRPr="008F5D8A" w:rsidRDefault="00D4231F" w:rsidP="00D4231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HOURS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PER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1622" w:type="dxa"/>
            <w:shd w:val="clear" w:color="auto" w:fill="DDD9C3" w:themeFill="background2" w:themeFillShade="E6"/>
            <w:vAlign w:val="center"/>
          </w:tcPr>
          <w:p w:rsidR="00D4231F" w:rsidRPr="008F5D8A" w:rsidRDefault="00D4231F" w:rsidP="00D4231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ECTS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D4231F" w:rsidRPr="00050B81" w:rsidTr="007245CC">
        <w:trPr>
          <w:trHeight w:val="194"/>
        </w:trPr>
        <w:tc>
          <w:tcPr>
            <w:tcW w:w="5298" w:type="dxa"/>
            <w:gridSpan w:val="3"/>
          </w:tcPr>
          <w:p w:rsidR="00D4231F" w:rsidRPr="0014231A" w:rsidRDefault="00AE4D3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GB"/>
              </w:rPr>
            </w:pPr>
            <w:r w:rsidRPr="00AE4D3F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Seminars / Lectures</w:t>
            </w:r>
            <w:r w:rsidR="0014231A"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 xml:space="preserve">, </w:t>
            </w:r>
            <w:r w:rsidR="0014231A">
              <w:rPr>
                <w:rFonts w:ascii="Calibri" w:eastAsia="Times New Roman" w:hAnsi="Calibri" w:cs="Arial"/>
                <w:color w:val="002060"/>
                <w:sz w:val="20"/>
                <w:szCs w:val="20"/>
                <w:lang w:val="en-GB"/>
              </w:rPr>
              <w:t>Forum discussions</w:t>
            </w:r>
          </w:p>
        </w:tc>
        <w:tc>
          <w:tcPr>
            <w:tcW w:w="1552" w:type="dxa"/>
            <w:gridSpan w:val="2"/>
          </w:tcPr>
          <w:p w:rsidR="00D4231F" w:rsidRPr="00AE4D3F" w:rsidRDefault="00AE4D3F" w:rsidP="00D423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GB"/>
              </w:rPr>
              <w:t>3</w:t>
            </w:r>
          </w:p>
        </w:tc>
        <w:tc>
          <w:tcPr>
            <w:tcW w:w="1622" w:type="dxa"/>
          </w:tcPr>
          <w:p w:rsidR="00D4231F" w:rsidRPr="00AE4D3F" w:rsidRDefault="00AE4D3F" w:rsidP="00D4231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GB"/>
              </w:rPr>
              <w:t>5</w:t>
            </w:r>
          </w:p>
        </w:tc>
      </w:tr>
      <w:tr w:rsidR="00D4231F" w:rsidRPr="00050B81" w:rsidTr="007245CC">
        <w:trPr>
          <w:trHeight w:val="194"/>
        </w:trPr>
        <w:tc>
          <w:tcPr>
            <w:tcW w:w="5298" w:type="dxa"/>
            <w:gridSpan w:val="3"/>
          </w:tcPr>
          <w:p w:rsidR="00D4231F" w:rsidRPr="00726337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D4231F" w:rsidRPr="00726337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622" w:type="dxa"/>
          </w:tcPr>
          <w:p w:rsidR="00D4231F" w:rsidRPr="00726337" w:rsidRDefault="00D4231F" w:rsidP="00D4231F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D4231F" w:rsidRPr="00050B81" w:rsidTr="007245CC">
        <w:trPr>
          <w:trHeight w:val="194"/>
        </w:trPr>
        <w:tc>
          <w:tcPr>
            <w:tcW w:w="5298" w:type="dxa"/>
            <w:gridSpan w:val="3"/>
          </w:tcPr>
          <w:p w:rsidR="00D4231F" w:rsidRPr="00726337" w:rsidRDefault="00D4231F" w:rsidP="00D4231F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D4231F" w:rsidRPr="00726337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622" w:type="dxa"/>
          </w:tcPr>
          <w:p w:rsidR="00D4231F" w:rsidRPr="00726337" w:rsidRDefault="00D4231F" w:rsidP="00D4231F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D4231F" w:rsidRPr="001E5CEF" w:rsidTr="007245CC">
        <w:trPr>
          <w:trHeight w:val="194"/>
        </w:trPr>
        <w:tc>
          <w:tcPr>
            <w:tcW w:w="5298" w:type="dxa"/>
            <w:gridSpan w:val="3"/>
            <w:shd w:val="clear" w:color="auto" w:fill="DDD9C3" w:themeFill="background2" w:themeFillShade="E6"/>
          </w:tcPr>
          <w:p w:rsidR="00D4231F" w:rsidRPr="008F5D8A" w:rsidRDefault="00D4231F" w:rsidP="00D4231F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Please, add</w:t>
            </w:r>
            <w:r w:rsidRPr="003C1C5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lines</w:t>
            </w:r>
            <w:r w:rsidRPr="003C1C5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if</w:t>
            </w:r>
            <w:r w:rsidRPr="003C1C5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necessary</w:t>
            </w:r>
            <w:r w:rsidRPr="003C1C5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.</w:t>
            </w:r>
            <w:r w:rsidRPr="00342BBD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Pr="0035048E">
              <w:rPr>
                <w:i/>
                <w:sz w:val="18"/>
                <w:szCs w:val="18"/>
                <w:lang w:val="en-US"/>
              </w:rPr>
              <w:t>Teaching methods and organization of the course are described in section 4.</w:t>
            </w:r>
          </w:p>
        </w:tc>
        <w:tc>
          <w:tcPr>
            <w:tcW w:w="1552" w:type="dxa"/>
            <w:gridSpan w:val="2"/>
          </w:tcPr>
          <w:p w:rsidR="00D4231F" w:rsidRPr="008F5D8A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4231F" w:rsidRPr="008F5D8A" w:rsidRDefault="00D4231F" w:rsidP="00D4231F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D4231F" w:rsidRPr="00D4231F" w:rsidTr="007245CC">
        <w:trPr>
          <w:trHeight w:val="599"/>
        </w:trPr>
        <w:tc>
          <w:tcPr>
            <w:tcW w:w="3009" w:type="dxa"/>
            <w:shd w:val="clear" w:color="auto" w:fill="DDD9C3" w:themeFill="background2" w:themeFillShade="E6"/>
          </w:tcPr>
          <w:p w:rsidR="00D4231F" w:rsidRPr="003C1C58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COURSE</w:t>
            </w:r>
            <w:r w:rsidRPr="003C1C58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TYPE</w:t>
            </w:r>
          </w:p>
          <w:p w:rsidR="00D4231F" w:rsidRPr="00FC2190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Background</w:t>
            </w:r>
            <w:r w:rsidRPr="00FC219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General</w:t>
            </w:r>
            <w:r w:rsidRPr="00FC219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Knowledge</w:t>
            </w:r>
            <w:r w:rsidRPr="00FC219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Scientific Area, Skill Development</w:t>
            </w:r>
          </w:p>
        </w:tc>
        <w:tc>
          <w:tcPr>
            <w:tcW w:w="5463" w:type="dxa"/>
            <w:gridSpan w:val="5"/>
          </w:tcPr>
          <w:p w:rsidR="00D4231F" w:rsidRPr="006F5A62" w:rsidRDefault="00D4231F" w:rsidP="00D4231F">
            <w:pPr>
              <w:spacing w:after="0" w:line="240" w:lineRule="auto"/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GB"/>
              </w:rPr>
            </w:pPr>
            <w:r w:rsidRPr="006F5A62">
              <w:rPr>
                <w:rFonts w:eastAsia="Times New Roman" w:cstheme="minorHAnsi"/>
                <w:color w:val="244061" w:themeColor="accent1" w:themeShade="80"/>
                <w:sz w:val="20"/>
                <w:szCs w:val="20"/>
              </w:rPr>
              <w:t>Scientific area, Skills Development</w:t>
            </w:r>
          </w:p>
          <w:p w:rsidR="00D4231F" w:rsidRPr="00FC2190" w:rsidRDefault="00D4231F" w:rsidP="00D4231F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  <w:tr w:rsidR="00D4231F" w:rsidRPr="00050B81" w:rsidTr="007245CC">
        <w:tc>
          <w:tcPr>
            <w:tcW w:w="3009" w:type="dxa"/>
            <w:shd w:val="clear" w:color="auto" w:fill="DDD9C3" w:themeFill="background2" w:themeFillShade="E6"/>
          </w:tcPr>
          <w:p w:rsidR="00D4231F" w:rsidRPr="00050B81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PREREQUISITES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  <w:p w:rsidR="00D4231F" w:rsidRPr="00050B81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463" w:type="dxa"/>
            <w:gridSpan w:val="5"/>
          </w:tcPr>
          <w:p w:rsidR="00D4231F" w:rsidRPr="00C17BE0" w:rsidRDefault="00D4231F" w:rsidP="00D4231F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  <w:tr w:rsidR="00D4231F" w:rsidRPr="00050B81" w:rsidTr="007245CC">
        <w:tc>
          <w:tcPr>
            <w:tcW w:w="3009" w:type="dxa"/>
            <w:shd w:val="clear" w:color="auto" w:fill="DDD9C3" w:themeFill="background2" w:themeFillShade="E6"/>
          </w:tcPr>
          <w:p w:rsidR="00D4231F" w:rsidRPr="00050B81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 &amp; EXAMINATION LANGUAGE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463" w:type="dxa"/>
            <w:gridSpan w:val="5"/>
          </w:tcPr>
          <w:p w:rsidR="00D4231F" w:rsidRPr="00C17BE0" w:rsidRDefault="00D4231F" w:rsidP="00D4231F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  <w:r w:rsidRPr="006623B0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GB"/>
              </w:rPr>
              <w:t>Greek</w:t>
            </w:r>
          </w:p>
        </w:tc>
      </w:tr>
      <w:tr w:rsidR="00D4231F" w:rsidRPr="00D4231F" w:rsidTr="007245CC">
        <w:tc>
          <w:tcPr>
            <w:tcW w:w="3009" w:type="dxa"/>
            <w:shd w:val="clear" w:color="auto" w:fill="DDD9C3" w:themeFill="background2" w:themeFillShade="E6"/>
          </w:tcPr>
          <w:p w:rsidR="00D4231F" w:rsidRPr="00703790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COURSE OFFERED TO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 w:rsidRPr="0070379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STUDENTS:</w:t>
            </w:r>
          </w:p>
        </w:tc>
        <w:tc>
          <w:tcPr>
            <w:tcW w:w="5463" w:type="dxa"/>
            <w:gridSpan w:val="5"/>
          </w:tcPr>
          <w:p w:rsidR="00D4231F" w:rsidRPr="003C1C58" w:rsidRDefault="00D4231F" w:rsidP="00D4231F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US"/>
              </w:rPr>
            </w:pPr>
            <w:r w:rsidRPr="006623B0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GB"/>
              </w:rPr>
              <w:t>No</w:t>
            </w:r>
          </w:p>
        </w:tc>
      </w:tr>
      <w:tr w:rsidR="00D4231F" w:rsidRPr="001E5CEF" w:rsidTr="007245CC">
        <w:tc>
          <w:tcPr>
            <w:tcW w:w="3009" w:type="dxa"/>
            <w:shd w:val="clear" w:color="auto" w:fill="DDD9C3" w:themeFill="background2" w:themeFillShade="E6"/>
          </w:tcPr>
          <w:p w:rsidR="00D4231F" w:rsidRPr="00050B81" w:rsidRDefault="00D4231F" w:rsidP="00D4231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COURSE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URL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463" w:type="dxa"/>
            <w:gridSpan w:val="5"/>
          </w:tcPr>
          <w:p w:rsidR="00D4231F" w:rsidRPr="00C17BE0" w:rsidRDefault="00F4300B" w:rsidP="00D4231F">
            <w:pPr>
              <w:rPr>
                <w:rFonts w:ascii="Calibri" w:hAnsi="Calibri" w:cs="Arial"/>
                <w:color w:val="244061" w:themeColor="accent1" w:themeShade="80"/>
                <w:sz w:val="20"/>
                <w:szCs w:val="20"/>
                <w:lang w:val="en-GB"/>
              </w:rPr>
            </w:pPr>
            <w:hyperlink r:id="rId7" w:history="1">
              <w:r w:rsidR="00AE4D3F" w:rsidRPr="00AE4D3F">
                <w:rPr>
                  <w:rStyle w:val="-"/>
                  <w:rFonts w:ascii="Calibri" w:hAnsi="Calibri" w:cs="Arial"/>
                  <w:sz w:val="20"/>
                  <w:szCs w:val="20"/>
                  <w:lang w:val="en-GB"/>
                </w:rPr>
                <w:t>https://eclass.duth.gr/courses/KOM04428/</w:t>
              </w:r>
            </w:hyperlink>
          </w:p>
        </w:tc>
      </w:tr>
    </w:tbl>
    <w:p w:rsidR="00050B81" w:rsidRPr="00050B81" w:rsidRDefault="00703790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508"/>
      </w:tblGrid>
      <w:tr w:rsidR="00050B81" w:rsidRPr="00050B81" w:rsidTr="007F2431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050B81" w:rsidRPr="00703790" w:rsidRDefault="00703790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Learning Outcomes</w:t>
            </w:r>
          </w:p>
        </w:tc>
      </w:tr>
      <w:tr w:rsidR="00050B81" w:rsidRPr="001E5CEF" w:rsidTr="007F2431">
        <w:tc>
          <w:tcPr>
            <w:tcW w:w="8472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:rsidR="00050B81" w:rsidRPr="007F2431" w:rsidRDefault="00FC2190" w:rsidP="007F243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Please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describe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learning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outcomes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of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course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Knowledge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skills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abilities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acquired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after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successful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completion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of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course</w:t>
            </w:r>
            <w:r w:rsidR="00050B81"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.</w:t>
            </w:r>
          </w:p>
        </w:tc>
      </w:tr>
      <w:tr w:rsidR="001A3F9B" w:rsidRPr="001E5CEF" w:rsidTr="007F2431">
        <w:tc>
          <w:tcPr>
            <w:tcW w:w="8472" w:type="dxa"/>
            <w:gridSpan w:val="2"/>
          </w:tcPr>
          <w:p w:rsidR="008627DF" w:rsidRPr="0034344E" w:rsidRDefault="008627DF" w:rsidP="008627D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color w:val="244061" w:themeColor="accent1" w:themeShade="80"/>
                <w:lang w:val="en-GB"/>
              </w:rPr>
            </w:pPr>
            <w:r w:rsidRPr="00356F20">
              <w:rPr>
                <w:color w:val="244061" w:themeColor="accent1" w:themeShade="80"/>
                <w:lang w:val="en-GB"/>
              </w:rPr>
              <w:t>Upon successful completion of the course students will be able to</w:t>
            </w:r>
            <w:r w:rsidRPr="0034344E">
              <w:rPr>
                <w:color w:val="244061" w:themeColor="accent1" w:themeShade="80"/>
                <w:lang w:val="en-GB"/>
              </w:rPr>
              <w:t>:</w:t>
            </w:r>
          </w:p>
          <w:p w:rsidR="008627DF" w:rsidRPr="00356F20" w:rsidRDefault="008627DF" w:rsidP="008627D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color w:val="244061" w:themeColor="accent1" w:themeShade="80"/>
                <w:lang w:val="en-GB"/>
              </w:rPr>
            </w:pPr>
            <w:r w:rsidRPr="00356F20">
              <w:rPr>
                <w:color w:val="244061" w:themeColor="accent1" w:themeShade="80"/>
                <w:lang w:val="en-GB"/>
              </w:rPr>
              <w:t>Understand the concepts and philosophy of inclusion, inclusive education, inclusion</w:t>
            </w:r>
          </w:p>
          <w:p w:rsidR="008627DF" w:rsidRPr="00356F20" w:rsidRDefault="008627DF" w:rsidP="008627D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color w:val="244061" w:themeColor="accent1" w:themeShade="80"/>
                <w:lang w:val="en-GB"/>
              </w:rPr>
            </w:pPr>
            <w:r w:rsidRPr="00356F20">
              <w:rPr>
                <w:color w:val="244061" w:themeColor="accent1" w:themeShade="80"/>
                <w:lang w:val="en-GB"/>
              </w:rPr>
              <w:t xml:space="preserve">Know the international trends regarding the inclusion of students with disabilities in the education system </w:t>
            </w:r>
          </w:p>
          <w:p w:rsidR="008627DF" w:rsidRPr="00356F20" w:rsidRDefault="008627DF" w:rsidP="008627D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color w:val="244061" w:themeColor="accent1" w:themeShade="80"/>
                <w:lang w:val="en-GB"/>
              </w:rPr>
            </w:pPr>
            <w:r>
              <w:rPr>
                <w:color w:val="244061" w:themeColor="accent1" w:themeShade="80"/>
                <w:lang w:val="en-GB"/>
              </w:rPr>
              <w:t>K</w:t>
            </w:r>
            <w:r w:rsidRPr="00356F20">
              <w:rPr>
                <w:color w:val="244061" w:themeColor="accent1" w:themeShade="80"/>
                <w:lang w:val="en-GB"/>
              </w:rPr>
              <w:t>now what Universal Learning Planning is</w:t>
            </w:r>
          </w:p>
          <w:p w:rsidR="008627DF" w:rsidRPr="00356F20" w:rsidRDefault="008627DF" w:rsidP="008627D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color w:val="244061" w:themeColor="accent1" w:themeShade="80"/>
                <w:lang w:val="en-GB"/>
              </w:rPr>
            </w:pPr>
            <w:r>
              <w:rPr>
                <w:color w:val="244061" w:themeColor="accent1" w:themeShade="80"/>
                <w:lang w:val="en-GB"/>
              </w:rPr>
              <w:t>K</w:t>
            </w:r>
            <w:r w:rsidRPr="00356F20">
              <w:rPr>
                <w:color w:val="244061" w:themeColor="accent1" w:themeShade="80"/>
                <w:lang w:val="en-GB"/>
              </w:rPr>
              <w:t>now to a satisfactory level the principles and the way of application of the differentiated teaching</w:t>
            </w:r>
          </w:p>
          <w:p w:rsidR="008627DF" w:rsidRPr="00D63649" w:rsidRDefault="008627DF" w:rsidP="008627D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color w:val="244061" w:themeColor="accent1" w:themeShade="80"/>
                <w:lang w:val="en-GB"/>
              </w:rPr>
            </w:pPr>
            <w:r w:rsidRPr="00D63649">
              <w:rPr>
                <w:color w:val="244061" w:themeColor="accent1" w:themeShade="80"/>
                <w:lang w:val="en-GB"/>
              </w:rPr>
              <w:t>Know the problems and conditions of school integration of students with</w:t>
            </w:r>
            <w:r>
              <w:rPr>
                <w:color w:val="244061" w:themeColor="accent1" w:themeShade="80"/>
                <w:lang w:val="en-GB"/>
              </w:rPr>
              <w:t xml:space="preserve"> SAN/</w:t>
            </w:r>
            <w:r w:rsidRPr="00D63649">
              <w:rPr>
                <w:color w:val="244061" w:themeColor="accent1" w:themeShade="80"/>
                <w:lang w:val="en-GB"/>
              </w:rPr>
              <w:t xml:space="preserve"> disabilities</w:t>
            </w:r>
          </w:p>
          <w:p w:rsidR="003D59E9" w:rsidRPr="008627DF" w:rsidRDefault="003D59E9" w:rsidP="003D59E9">
            <w:pPr>
              <w:pStyle w:val="a4"/>
              <w:spacing w:before="100" w:beforeAutospacing="1" w:after="100" w:afterAutospacing="1" w:line="240" w:lineRule="auto"/>
              <w:ind w:left="426"/>
              <w:rPr>
                <w:rFonts w:eastAsia="Times New Roman" w:cs="Times New Roman"/>
                <w:color w:val="244061" w:themeColor="accent1" w:themeShade="80"/>
                <w:lang w:val="en-GB" w:eastAsia="el-GR"/>
              </w:rPr>
            </w:pPr>
          </w:p>
          <w:p w:rsidR="0093078D" w:rsidRPr="007F2431" w:rsidRDefault="0093078D" w:rsidP="005B4A8A">
            <w:pPr>
              <w:pStyle w:val="a4"/>
              <w:spacing w:before="100" w:beforeAutospacing="1" w:after="100" w:afterAutospacing="1" w:line="240" w:lineRule="auto"/>
              <w:ind w:left="426"/>
              <w:rPr>
                <w:rFonts w:eastAsia="Times New Roman" w:cs="Times New Roman"/>
                <w:color w:val="244061" w:themeColor="accent1" w:themeShade="80"/>
                <w:lang w:val="en-US" w:eastAsia="el-GR"/>
              </w:rPr>
            </w:pPr>
          </w:p>
        </w:tc>
      </w:tr>
      <w:tr w:rsidR="00050B81" w:rsidRPr="00050B81" w:rsidTr="007F2431">
        <w:tblPrEx>
          <w:tblLook w:val="000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050B81" w:rsidRPr="00703790" w:rsidRDefault="00703790" w:rsidP="007F243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General </w:t>
            </w:r>
            <w:r w:rsid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Skill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</w:t>
            </w:r>
          </w:p>
        </w:tc>
      </w:tr>
      <w:tr w:rsidR="00050B81" w:rsidRPr="001E5CEF" w:rsidTr="007F2431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050B81" w:rsidRPr="0035048E" w:rsidRDefault="0035048E" w:rsidP="007F243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  <w:r w:rsidRPr="0035048E">
              <w:rPr>
                <w:i/>
                <w:sz w:val="18"/>
                <w:szCs w:val="18"/>
                <w:lang w:val="en-US"/>
              </w:rPr>
              <w:t xml:space="preserve">Name the desirable general skills upon successful completion of the module </w:t>
            </w:r>
          </w:p>
        </w:tc>
      </w:tr>
      <w:tr w:rsidR="005B4A8A" w:rsidRPr="001E5CEF" w:rsidTr="007F2431">
        <w:tblPrEx>
          <w:tblLook w:val="0000"/>
        </w:tblPrEx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5B4A8A" w:rsidRPr="007F2431" w:rsidRDefault="005B4A8A" w:rsidP="005B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B78FB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US" w:eastAsia="el-GR"/>
              </w:rPr>
              <w:t>Search, analysis and synthesis of data and information, using the necessary technologies</w:t>
            </w:r>
            <w:r w:rsidRPr="00FB78FB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US" w:eastAsia="el-GR"/>
              </w:rPr>
              <w:br/>
              <w:t>Autonomous work</w:t>
            </w:r>
            <w:r w:rsidRPr="00FB78FB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US" w:eastAsia="el-GR"/>
              </w:rPr>
              <w:br/>
              <w:t>Teamwork</w:t>
            </w:r>
            <w:r w:rsidRPr="00FB78FB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US" w:eastAsia="el-GR"/>
              </w:rPr>
              <w:br/>
              <w:t>Work in an international environment</w:t>
            </w:r>
            <w:r w:rsidRPr="00FB78FB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US" w:eastAsia="el-GR"/>
              </w:rPr>
              <w:br/>
              <w:t>Work in an interdisciplinary environment</w:t>
            </w:r>
            <w:r w:rsidRPr="00FB78FB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US" w:eastAsia="el-GR"/>
              </w:rPr>
              <w:br/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:rsidR="005B4A8A" w:rsidRPr="00FB78FB" w:rsidRDefault="005B4A8A" w:rsidP="005B4A8A">
            <w:pPr>
              <w:pStyle w:val="a4"/>
              <w:spacing w:before="100" w:beforeAutospacing="1" w:after="100" w:afterAutospacing="1" w:line="240" w:lineRule="auto"/>
              <w:ind w:left="426"/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US" w:eastAsia="el-GR"/>
              </w:rPr>
            </w:pPr>
            <w:r w:rsidRPr="00FB78FB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US" w:eastAsia="el-GR"/>
              </w:rPr>
              <w:t>Respect for diversity and multiculturalism</w:t>
            </w:r>
          </w:p>
          <w:p w:rsidR="005B4A8A" w:rsidRPr="00FB78FB" w:rsidRDefault="005B4A8A" w:rsidP="005B4A8A">
            <w:pPr>
              <w:pStyle w:val="a4"/>
              <w:spacing w:before="100" w:beforeAutospacing="1" w:after="100" w:afterAutospacing="1" w:line="240" w:lineRule="auto"/>
              <w:ind w:left="426"/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US" w:eastAsia="el-GR"/>
              </w:rPr>
            </w:pPr>
            <w:r w:rsidRPr="00FB78FB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US" w:eastAsia="el-GR"/>
              </w:rPr>
              <w:t>Exercise criticism and self-criticism</w:t>
            </w:r>
            <w:r w:rsidRPr="00FB78FB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US" w:eastAsia="el-GR"/>
              </w:rPr>
              <w:br/>
              <w:t>Promoting free, creative and inductive thinking</w:t>
            </w:r>
          </w:p>
        </w:tc>
      </w:tr>
      <w:tr w:rsidR="00050B81" w:rsidRPr="001E5CEF" w:rsidTr="007F2431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050B81" w:rsidRPr="007F2431" w:rsidRDefault="00050B81" w:rsidP="001A3F9B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  <w:p w:rsidR="00DB3F60" w:rsidRPr="007F2431" w:rsidRDefault="00DB3F60" w:rsidP="0070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color w:val="244061" w:themeColor="accent1" w:themeShade="80"/>
                <w:sz w:val="16"/>
                <w:szCs w:val="16"/>
                <w:lang w:val="en-US"/>
              </w:rPr>
            </w:pPr>
          </w:p>
        </w:tc>
      </w:tr>
    </w:tbl>
    <w:p w:rsidR="00050B81" w:rsidRPr="00050B81" w:rsidRDefault="00703790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50B81" w:rsidRPr="00143EEF" w:rsidTr="00BF6D32">
        <w:tc>
          <w:tcPr>
            <w:tcW w:w="8472" w:type="dxa"/>
          </w:tcPr>
          <w:p w:rsidR="00050B81" w:rsidRPr="00FB78FB" w:rsidRDefault="00143EEF" w:rsidP="00143EEF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FB78FB"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  <w:t>Conceptual definitions and philosophy of inclusion, inclusive education and inclusion</w:t>
            </w:r>
          </w:p>
          <w:p w:rsidR="00143EEF" w:rsidRPr="00FB78FB" w:rsidRDefault="00143EEF" w:rsidP="00143EEF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FB78FB"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  <w:t xml:space="preserve">International trends-declarations and resolutions for the Integration of students with disabilities in the educational system </w:t>
            </w:r>
          </w:p>
          <w:p w:rsidR="00143EEF" w:rsidRPr="00FB78FB" w:rsidRDefault="00B67CA1" w:rsidP="00143EEF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FB78FB"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  <w:t>International school integration practices - The Greek reality</w:t>
            </w:r>
          </w:p>
          <w:p w:rsidR="00B67CA1" w:rsidRPr="00FB78FB" w:rsidRDefault="00B67CA1" w:rsidP="00143EEF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FB78FB"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  <w:t>Attitudes, Stereotypes and Prejudices about the diversity and integration of students with SAN/disabilities</w:t>
            </w:r>
          </w:p>
          <w:p w:rsidR="00B67CA1" w:rsidRPr="00FB78FB" w:rsidRDefault="00B67CA1" w:rsidP="00143EEF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FB78FB"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  <w:t>Problems and Conditions of school integration-Preparation of all factors</w:t>
            </w:r>
          </w:p>
          <w:p w:rsidR="00B67CA1" w:rsidRPr="00FB78FB" w:rsidRDefault="00B67CA1" w:rsidP="00143EEF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FB78FB"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  <w:t>Organization of infrastructure and shaping of education and learning environment</w:t>
            </w:r>
          </w:p>
          <w:p w:rsidR="00B67CA1" w:rsidRDefault="002D2F2C" w:rsidP="00143EEF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2D2F2C">
              <w:rPr>
                <w:rFonts w:cstheme="minorHAnsi"/>
                <w:color w:val="244061" w:themeColor="accent1" w:themeShade="80"/>
                <w:sz w:val="20"/>
                <w:szCs w:val="20"/>
              </w:rPr>
              <w:t>Universal Design for Learning</w:t>
            </w:r>
          </w:p>
          <w:p w:rsidR="002D2F2C" w:rsidRDefault="002D2F2C" w:rsidP="00143EEF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2D2F2C">
              <w:rPr>
                <w:rFonts w:cstheme="minorHAnsi"/>
                <w:color w:val="244061" w:themeColor="accent1" w:themeShade="80"/>
                <w:sz w:val="20"/>
                <w:szCs w:val="20"/>
              </w:rPr>
              <w:t>Review and Configuration of curricula</w:t>
            </w:r>
          </w:p>
          <w:p w:rsidR="002D2F2C" w:rsidRPr="00FB78FB" w:rsidRDefault="002D2F2C" w:rsidP="00143EEF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FB78FB"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  <w:t>Differentiated teaching and its contribution - Objectives, process, learning content and teaching materials</w:t>
            </w:r>
          </w:p>
          <w:p w:rsidR="002D2F2C" w:rsidRPr="00FB78FB" w:rsidRDefault="002D2F2C" w:rsidP="00143EEF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FB78FB"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  <w:t>The role and perceptions of teachers about integration</w:t>
            </w:r>
          </w:p>
          <w:p w:rsidR="002D2F2C" w:rsidRPr="00FB78FB" w:rsidRDefault="002D2F2C" w:rsidP="00143EEF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FB78FB">
              <w:rPr>
                <w:rFonts w:cstheme="minorHAnsi"/>
                <w:color w:val="244061" w:themeColor="accent1" w:themeShade="80"/>
                <w:sz w:val="20"/>
                <w:szCs w:val="20"/>
                <w:lang w:val="en-US"/>
              </w:rPr>
              <w:t>The contribution of ICT to the integration of students with SAN/disabilities</w:t>
            </w:r>
          </w:p>
          <w:p w:rsidR="002D2F2C" w:rsidRDefault="002D2F2C" w:rsidP="00143EEF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2D2F2C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Presentation of </w:t>
            </w: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students’ </w:t>
            </w:r>
            <w:r w:rsidR="008B35CF">
              <w:rPr>
                <w:rFonts w:cstheme="minorHAnsi"/>
                <w:color w:val="244061" w:themeColor="accent1" w:themeShade="80"/>
                <w:sz w:val="20"/>
                <w:szCs w:val="20"/>
              </w:rPr>
              <w:t>assessments</w:t>
            </w:r>
          </w:p>
          <w:p w:rsidR="002D2F2C" w:rsidRPr="00143EEF" w:rsidRDefault="002D2F2C" w:rsidP="00143EEF">
            <w:pPr>
              <w:pStyle w:val="a4"/>
              <w:numPr>
                <w:ilvl w:val="0"/>
                <w:numId w:val="3"/>
              </w:numPr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2D2F2C">
              <w:rPr>
                <w:rFonts w:cstheme="minorHAnsi"/>
                <w:color w:val="244061" w:themeColor="accent1" w:themeShade="80"/>
                <w:sz w:val="20"/>
                <w:szCs w:val="20"/>
              </w:rPr>
              <w:t>Course evaluation</w:t>
            </w:r>
          </w:p>
        </w:tc>
      </w:tr>
    </w:tbl>
    <w:p w:rsidR="00050B81" w:rsidRPr="00050B81" w:rsidRDefault="00703790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LEARNING &amp; TEACHING METHODS</w:t>
      </w:r>
      <w:r w:rsidR="00050B81" w:rsidRPr="00050B81">
        <w:rPr>
          <w:rFonts w:ascii="Calibri" w:eastAsia="Times New Roman" w:hAnsi="Calibri" w:cs="Arial"/>
          <w:b/>
          <w:color w:val="000000"/>
        </w:rPr>
        <w:t xml:space="preserve"> - </w:t>
      </w:r>
      <w:r>
        <w:rPr>
          <w:rFonts w:ascii="Calibri" w:eastAsia="Times New Roman" w:hAnsi="Calibri" w:cs="Arial"/>
          <w:b/>
          <w:color w:val="000000"/>
          <w:lang w:val="en-US"/>
        </w:rPr>
        <w:t>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F158A6" w:rsidRPr="001E5CEF" w:rsidTr="00B25922">
        <w:tc>
          <w:tcPr>
            <w:tcW w:w="3306" w:type="dxa"/>
            <w:shd w:val="clear" w:color="auto" w:fill="DDD9C3" w:themeFill="background2" w:themeFillShade="E6"/>
          </w:tcPr>
          <w:p w:rsidR="00F158A6" w:rsidRPr="007F2431" w:rsidRDefault="00F158A6" w:rsidP="00F158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METHOD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Face to face,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D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istance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learning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, etc.</w:t>
            </w:r>
          </w:p>
        </w:tc>
        <w:tc>
          <w:tcPr>
            <w:tcW w:w="5166" w:type="dxa"/>
          </w:tcPr>
          <w:p w:rsidR="00F158A6" w:rsidRPr="007F2431" w:rsidRDefault="00F158A6" w:rsidP="00F158A6">
            <w:pPr>
              <w:rPr>
                <w:iCs/>
                <w:color w:val="244061" w:themeColor="accent1" w:themeShade="80"/>
                <w:lang w:val="en-US"/>
              </w:rPr>
            </w:pPr>
            <w:r w:rsidRPr="00761E24"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 xml:space="preserve">Face to face, </w:t>
            </w:r>
            <w:r w:rsidR="003D0136"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>Distance Learning</w:t>
            </w:r>
          </w:p>
        </w:tc>
      </w:tr>
      <w:tr w:rsidR="00F158A6" w:rsidRPr="00D4231F" w:rsidTr="00B25922">
        <w:tc>
          <w:tcPr>
            <w:tcW w:w="3306" w:type="dxa"/>
            <w:shd w:val="clear" w:color="auto" w:fill="DDD9C3" w:themeFill="background2" w:themeFillShade="E6"/>
          </w:tcPr>
          <w:p w:rsidR="00F158A6" w:rsidRPr="007F2431" w:rsidRDefault="00F158A6" w:rsidP="00F158A6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OF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NFORMATION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&amp;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COMMUNICATIONS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TECHNOLOGY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ICT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)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Use of ICT in Teaching, in Laboratory Education, in Communication with students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2D2F2C" w:rsidRPr="002D2F2C" w:rsidRDefault="002D2F2C" w:rsidP="002D2F2C">
            <w:pPr>
              <w:pStyle w:val="a4"/>
              <w:numPr>
                <w:ilvl w:val="0"/>
                <w:numId w:val="8"/>
              </w:numPr>
              <w:ind w:left="271" w:hanging="284"/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</w:pPr>
            <w:r w:rsidRPr="002D2F2C"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>Teaching</w:t>
            </w:r>
            <w:r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 xml:space="preserve"> through</w:t>
            </w:r>
            <w:r w:rsidRPr="002D2F2C"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 xml:space="preserve"> Internet</w:t>
            </w:r>
            <w:r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</w:p>
          <w:p w:rsidR="002D2F2C" w:rsidRPr="002D2F2C" w:rsidRDefault="005D253A" w:rsidP="002D2F2C">
            <w:pPr>
              <w:pStyle w:val="a4"/>
              <w:numPr>
                <w:ilvl w:val="0"/>
                <w:numId w:val="8"/>
              </w:numPr>
              <w:ind w:left="271" w:hanging="284"/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>D</w:t>
            </w:r>
            <w:r w:rsidR="002D2F2C" w:rsidRPr="002D2F2C"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 xml:space="preserve">istance learning system - via </w:t>
            </w:r>
            <w:r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>E</w:t>
            </w:r>
            <w:r w:rsidR="00696824" w:rsidRPr="00FB78FB"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US"/>
              </w:rPr>
              <w:t>-</w:t>
            </w:r>
            <w:r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 xml:space="preserve">class, </w:t>
            </w:r>
            <w:r w:rsidR="002D2F2C" w:rsidRPr="002D2F2C"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>Zoom</w:t>
            </w:r>
            <w:r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 xml:space="preserve"> and Skype</w:t>
            </w:r>
          </w:p>
          <w:p w:rsidR="002D2F2C" w:rsidRPr="002D2F2C" w:rsidRDefault="002D2F2C" w:rsidP="002D2F2C">
            <w:pPr>
              <w:pStyle w:val="a4"/>
              <w:numPr>
                <w:ilvl w:val="0"/>
                <w:numId w:val="8"/>
              </w:numPr>
              <w:ind w:left="271" w:hanging="284"/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</w:pPr>
            <w:r w:rsidRPr="002D2F2C"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>Use of digital audiovisual material both in teaching (power point presentations, audiovisual excerpts, online resources) and in the E</w:t>
            </w:r>
            <w:r w:rsidR="00696824" w:rsidRPr="00696824"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US"/>
              </w:rPr>
              <w:t>-</w:t>
            </w:r>
            <w:r w:rsidRPr="002D2F2C"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>class digital platform.</w:t>
            </w:r>
          </w:p>
          <w:p w:rsidR="002D2F2C" w:rsidRPr="002D2F2C" w:rsidRDefault="005D253A" w:rsidP="002D2F2C">
            <w:pPr>
              <w:pStyle w:val="a4"/>
              <w:numPr>
                <w:ilvl w:val="0"/>
                <w:numId w:val="8"/>
              </w:numPr>
              <w:ind w:left="271" w:hanging="284"/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>Distance l</w:t>
            </w:r>
            <w:r w:rsidR="002D2F2C" w:rsidRPr="002D2F2C"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>earning through the</w:t>
            </w:r>
            <w:r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r w:rsidR="002D2F2C" w:rsidRPr="002D2F2C"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>digital platform.</w:t>
            </w:r>
          </w:p>
          <w:p w:rsidR="00F158A6" w:rsidRPr="002D2F2C" w:rsidRDefault="002D2F2C" w:rsidP="002D2F2C">
            <w:pPr>
              <w:pStyle w:val="a4"/>
              <w:numPr>
                <w:ilvl w:val="0"/>
                <w:numId w:val="8"/>
              </w:numPr>
              <w:ind w:left="271" w:hanging="284"/>
              <w:rPr>
                <w:rFonts w:ascii="Calibri" w:eastAsia="Times New Roman" w:hAnsi="Calibri" w:cs="Arial"/>
                <w:b/>
                <w:color w:val="244061" w:themeColor="accent1" w:themeShade="80"/>
                <w:lang w:val="en-US"/>
              </w:rPr>
            </w:pPr>
            <w:r w:rsidRPr="002D2F2C">
              <w:rPr>
                <w:rFonts w:eastAsia="Times New Roman" w:cstheme="minorHAnsi"/>
                <w:iCs/>
                <w:color w:val="244061" w:themeColor="accent1" w:themeShade="80"/>
                <w:sz w:val="20"/>
                <w:szCs w:val="20"/>
                <w:lang w:val="en-GB"/>
              </w:rPr>
              <w:t>Communication using email</w:t>
            </w:r>
          </w:p>
        </w:tc>
      </w:tr>
      <w:tr w:rsidR="00F158A6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F158A6" w:rsidRPr="007F2431" w:rsidRDefault="00F158A6" w:rsidP="00F158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 ORGANIZATION</w:t>
            </w:r>
          </w:p>
          <w:p w:rsidR="00F158A6" w:rsidRPr="007F2431" w:rsidRDefault="00F158A6" w:rsidP="00F158A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 way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s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and methods of teaching are described in detail.</w:t>
            </w:r>
          </w:p>
          <w:p w:rsidR="00F158A6" w:rsidRPr="007F2431" w:rsidRDefault="00F158A6" w:rsidP="00F158A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Lectures, Seminars, Laboratory Exercise, Field Exercise, Bibliograph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ic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research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&amp; analysis, Tutoring, Internship (Placement), Clinical Exercise, Art Workshop, Interactive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learning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, Study visits, Study / creation, project, creation, project.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Etc.</w:t>
            </w:r>
          </w:p>
          <w:p w:rsidR="00F158A6" w:rsidRPr="007F2431" w:rsidRDefault="00F158A6" w:rsidP="00F158A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  <w:p w:rsidR="00F158A6" w:rsidRPr="007F2431" w:rsidRDefault="00F158A6" w:rsidP="00F158A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 supervised and unsupervised workload per activity is indicated here, so that total workload per semester complies to ECTS standards.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2467"/>
              <w:gridCol w:w="2468"/>
            </w:tblGrid>
            <w:tr w:rsidR="00F158A6" w:rsidRPr="00C17BE0" w:rsidTr="00D05B60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:rsidR="00F158A6" w:rsidRPr="00703790" w:rsidRDefault="00F158A6" w:rsidP="00F158A6">
                  <w:pPr>
                    <w:jc w:val="center"/>
                    <w:rPr>
                      <w:rFonts w:ascii="Calibri" w:hAnsi="Calibri" w:cs="Arial"/>
                      <w:b/>
                      <w:i/>
                      <w:color w:val="244061" w:themeColor="accent1" w:themeShade="80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244061" w:themeColor="accent1" w:themeShade="80"/>
                    </w:rPr>
                    <w:t>Activity</w:t>
                  </w:r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:rsidR="00F158A6" w:rsidRPr="00C17BE0" w:rsidRDefault="00F158A6" w:rsidP="00F158A6">
                  <w:pPr>
                    <w:jc w:val="center"/>
                    <w:rPr>
                      <w:rFonts w:ascii="Calibri" w:hAnsi="Calibri" w:cs="Arial"/>
                      <w:b/>
                      <w:i/>
                      <w:color w:val="244061" w:themeColor="accent1" w:themeShade="80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244061" w:themeColor="accent1" w:themeShade="80"/>
                    </w:rPr>
                    <w:t>Workload/semester</w:t>
                  </w:r>
                </w:p>
              </w:tc>
            </w:tr>
            <w:tr w:rsidR="00F158A6" w:rsidRPr="00C17BE0" w:rsidTr="00D05B60">
              <w:tc>
                <w:tcPr>
                  <w:tcW w:w="2467" w:type="dxa"/>
                </w:tcPr>
                <w:p w:rsidR="00F158A6" w:rsidRPr="00C17BE0" w:rsidRDefault="00F158A6" w:rsidP="00F158A6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  <w:r w:rsidRPr="00761E24">
                    <w:rPr>
                      <w:rFonts w:asciiTheme="minorHAnsi" w:hAnsiTheme="minorHAnsi" w:cstheme="minorHAnsi"/>
                      <w:iCs/>
                      <w:color w:val="244061" w:themeColor="accent1" w:themeShade="80"/>
                      <w:lang w:val="en-GB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:rsidR="00F158A6" w:rsidRPr="00C17BE0" w:rsidRDefault="00F158A6" w:rsidP="00F158A6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  <w:r w:rsidRPr="00761E24">
                    <w:rPr>
                      <w:rFonts w:asciiTheme="minorHAnsi" w:hAnsiTheme="minorHAnsi" w:cstheme="minorHAnsi"/>
                      <w:color w:val="244061" w:themeColor="accent1" w:themeShade="80"/>
                      <w:lang w:val="el-GR"/>
                    </w:rPr>
                    <w:t>36</w:t>
                  </w:r>
                </w:p>
              </w:tc>
            </w:tr>
            <w:tr w:rsidR="00F158A6" w:rsidRPr="00C17BE0" w:rsidTr="00D05B60">
              <w:tc>
                <w:tcPr>
                  <w:tcW w:w="2467" w:type="dxa"/>
                  <w:shd w:val="clear" w:color="auto" w:fill="auto"/>
                </w:tcPr>
                <w:p w:rsidR="00F158A6" w:rsidRPr="00C17BE0" w:rsidRDefault="00F158A6" w:rsidP="00F158A6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  <w:r w:rsidRPr="00761E24">
                    <w:rPr>
                      <w:rFonts w:asciiTheme="minorHAnsi" w:hAnsiTheme="minorHAnsi" w:cstheme="minorHAnsi"/>
                      <w:iCs/>
                      <w:color w:val="002060"/>
                    </w:rPr>
                    <w:t>Completion of internship protocols</w:t>
                  </w:r>
                </w:p>
              </w:tc>
              <w:tc>
                <w:tcPr>
                  <w:tcW w:w="2468" w:type="dxa"/>
                </w:tcPr>
                <w:p w:rsidR="00F158A6" w:rsidRPr="00C17BE0" w:rsidRDefault="00F158A6" w:rsidP="00F158A6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  <w:r w:rsidRPr="00761E24">
                    <w:rPr>
                      <w:rFonts w:asciiTheme="minorHAnsi" w:hAnsiTheme="minorHAnsi" w:cstheme="minorHAnsi"/>
                      <w:color w:val="244061" w:themeColor="accent1" w:themeShade="80"/>
                      <w:lang w:val="el-GR"/>
                    </w:rPr>
                    <w:t>14</w:t>
                  </w:r>
                </w:p>
              </w:tc>
            </w:tr>
            <w:tr w:rsidR="00F158A6" w:rsidRPr="00F158A6" w:rsidTr="00D05B60">
              <w:tc>
                <w:tcPr>
                  <w:tcW w:w="2467" w:type="dxa"/>
                  <w:shd w:val="clear" w:color="auto" w:fill="auto"/>
                </w:tcPr>
                <w:p w:rsidR="00F158A6" w:rsidRPr="00F158A6" w:rsidRDefault="00F158A6" w:rsidP="00F158A6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n-GB"/>
                    </w:rPr>
                  </w:pPr>
                  <w:r w:rsidRPr="00761E24">
                    <w:rPr>
                      <w:rFonts w:asciiTheme="minorHAnsi" w:hAnsiTheme="minorHAnsi" w:cstheme="minorHAnsi"/>
                      <w:iCs/>
                      <w:color w:val="002060"/>
                      <w:lang w:val="en-GB"/>
                    </w:rPr>
                    <w:t xml:space="preserve">Internship (observation-pedagogical assessment of students with SAN/disabilities) in schools </w:t>
                  </w:r>
                </w:p>
              </w:tc>
              <w:tc>
                <w:tcPr>
                  <w:tcW w:w="2468" w:type="dxa"/>
                </w:tcPr>
                <w:p w:rsidR="00F158A6" w:rsidRPr="00761E24" w:rsidRDefault="00F158A6" w:rsidP="00F158A6">
                  <w:pPr>
                    <w:jc w:val="center"/>
                    <w:rPr>
                      <w:rFonts w:asciiTheme="minorHAnsi" w:hAnsiTheme="minorHAnsi" w:cstheme="minorHAnsi"/>
                      <w:color w:val="244061" w:themeColor="accent1" w:themeShade="80"/>
                      <w:lang w:val="en-GB"/>
                    </w:rPr>
                  </w:pPr>
                </w:p>
                <w:p w:rsidR="00F158A6" w:rsidRPr="00F158A6" w:rsidRDefault="00F158A6" w:rsidP="00F158A6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n-GB"/>
                    </w:rPr>
                  </w:pPr>
                  <w:r w:rsidRPr="00761E24">
                    <w:rPr>
                      <w:rFonts w:asciiTheme="minorHAnsi" w:hAnsiTheme="minorHAnsi" w:cstheme="minorHAnsi"/>
                      <w:color w:val="244061" w:themeColor="accent1" w:themeShade="80"/>
                      <w:lang w:val="el-GR"/>
                    </w:rPr>
                    <w:t>75</w:t>
                  </w:r>
                </w:p>
              </w:tc>
            </w:tr>
            <w:tr w:rsidR="00F158A6" w:rsidRPr="00F158A6" w:rsidTr="00D05B60">
              <w:tc>
                <w:tcPr>
                  <w:tcW w:w="2467" w:type="dxa"/>
                  <w:shd w:val="clear" w:color="auto" w:fill="auto"/>
                </w:tcPr>
                <w:p w:rsidR="00F158A6" w:rsidRPr="00F158A6" w:rsidRDefault="00F158A6" w:rsidP="00F158A6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:rsidR="00F158A6" w:rsidRPr="00F158A6" w:rsidRDefault="00F158A6" w:rsidP="00F158A6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158A6" w:rsidRPr="00F158A6" w:rsidTr="00D05B60">
              <w:tc>
                <w:tcPr>
                  <w:tcW w:w="2467" w:type="dxa"/>
                  <w:shd w:val="clear" w:color="auto" w:fill="auto"/>
                </w:tcPr>
                <w:p w:rsidR="00F158A6" w:rsidRPr="00F158A6" w:rsidRDefault="00F158A6" w:rsidP="00F158A6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68" w:type="dxa"/>
                </w:tcPr>
                <w:p w:rsidR="00F158A6" w:rsidRPr="00F158A6" w:rsidRDefault="00F158A6" w:rsidP="00F158A6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158A6" w:rsidRPr="00C17BE0" w:rsidTr="000545C9">
              <w:tc>
                <w:tcPr>
                  <w:tcW w:w="2467" w:type="dxa"/>
                </w:tcPr>
                <w:p w:rsidR="00F158A6" w:rsidRPr="00C17BE0" w:rsidRDefault="00F158A6" w:rsidP="00F158A6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</w:rPr>
                  </w:pPr>
                  <w:r w:rsidRPr="00761E24">
                    <w:rPr>
                      <w:rFonts w:asciiTheme="minorHAnsi" w:hAnsiTheme="minorHAnsi" w:cstheme="minorHAnsi"/>
                      <w:iCs/>
                      <w:color w:val="244061" w:themeColor="accent1" w:themeShade="80"/>
                      <w:lang w:val="en-GB"/>
                    </w:rPr>
                    <w:t>Course Total</w:t>
                  </w:r>
                </w:p>
              </w:tc>
              <w:tc>
                <w:tcPr>
                  <w:tcW w:w="2468" w:type="dxa"/>
                  <w:vAlign w:val="center"/>
                </w:tcPr>
                <w:p w:rsidR="00F158A6" w:rsidRPr="00C17BE0" w:rsidRDefault="00F158A6" w:rsidP="00F158A6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  <w:r w:rsidRPr="00761E24">
                    <w:rPr>
                      <w:rFonts w:asciiTheme="minorHAnsi" w:hAnsiTheme="minorHAnsi" w:cstheme="minorHAnsi"/>
                      <w:b/>
                      <w:color w:val="244061" w:themeColor="accent1" w:themeShade="80"/>
                      <w:lang w:val="el-GR"/>
                    </w:rPr>
                    <w:t>125</w:t>
                  </w:r>
                </w:p>
              </w:tc>
            </w:tr>
            <w:tr w:rsidR="00F158A6" w:rsidRPr="00C17BE0" w:rsidTr="00D05B60">
              <w:tc>
                <w:tcPr>
                  <w:tcW w:w="2467" w:type="dxa"/>
                  <w:shd w:val="clear" w:color="auto" w:fill="auto"/>
                </w:tcPr>
                <w:p w:rsidR="00F158A6" w:rsidRPr="00C17BE0" w:rsidRDefault="00F158A6" w:rsidP="00F158A6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158A6" w:rsidRPr="00C17BE0" w:rsidRDefault="00F158A6" w:rsidP="00F158A6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F158A6" w:rsidRPr="00C17BE0" w:rsidTr="00D05B60">
              <w:tc>
                <w:tcPr>
                  <w:tcW w:w="2467" w:type="dxa"/>
                </w:tcPr>
                <w:p w:rsidR="00F158A6" w:rsidRPr="00C17BE0" w:rsidRDefault="00F158A6" w:rsidP="00F158A6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  <w:vAlign w:val="center"/>
                </w:tcPr>
                <w:p w:rsidR="00F158A6" w:rsidRPr="00C17BE0" w:rsidRDefault="00F158A6" w:rsidP="00F158A6">
                  <w:pPr>
                    <w:jc w:val="center"/>
                    <w:rPr>
                      <w:rFonts w:ascii="Calibri" w:hAnsi="Calibri" w:cs="Arial"/>
                      <w:b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F158A6" w:rsidRPr="00C17BE0" w:rsidRDefault="00F158A6" w:rsidP="00F158A6">
            <w:pPr>
              <w:spacing w:after="0" w:line="240" w:lineRule="auto"/>
              <w:rPr>
                <w:rFonts w:ascii="Tahoma" w:eastAsia="Times New Roman" w:hAnsi="Tahoma" w:cs="Tahoma"/>
                <w:color w:val="244061" w:themeColor="accent1" w:themeShade="80"/>
                <w:lang w:val="en-US"/>
              </w:rPr>
            </w:pPr>
          </w:p>
        </w:tc>
      </w:tr>
      <w:tr w:rsidR="00F158A6" w:rsidRPr="00F643F8" w:rsidTr="00D05B60">
        <w:tc>
          <w:tcPr>
            <w:tcW w:w="3306" w:type="dxa"/>
            <w:shd w:val="clear" w:color="auto" w:fill="DDD9C3" w:themeFill="background2" w:themeFillShade="E6"/>
          </w:tcPr>
          <w:p w:rsidR="00F158A6" w:rsidRPr="00703790" w:rsidRDefault="00F158A6" w:rsidP="00F158A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aps/>
                <w:sz w:val="20"/>
                <w:szCs w:val="20"/>
                <w:lang w:val="en-US"/>
              </w:rPr>
            </w:pPr>
            <w:r w:rsidRPr="00703790">
              <w:rPr>
                <w:rFonts w:ascii="Calibri" w:eastAsia="Times New Roman" w:hAnsi="Calibri" w:cs="Arial"/>
                <w:b/>
                <w:caps/>
                <w:sz w:val="20"/>
                <w:szCs w:val="20"/>
                <w:lang w:val="en-US"/>
              </w:rPr>
              <w:t>Student Evaluation</w:t>
            </w:r>
          </w:p>
          <w:p w:rsidR="00F158A6" w:rsidRPr="00073E0D" w:rsidRDefault="00F158A6" w:rsidP="00F158A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Description of the evaluation process</w:t>
            </w:r>
          </w:p>
          <w:p w:rsidR="00F158A6" w:rsidRPr="00073E0D" w:rsidRDefault="00F158A6" w:rsidP="00F158A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  <w:p w:rsidR="00F158A6" w:rsidRPr="00073E0D" w:rsidRDefault="00F158A6" w:rsidP="00F158A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Assessment Language, Assessment Methods, Formative or Concluding, Multiple Choice Test, Short Answer Questions, Essay Development Questions, Problem Solving, Written Assignment,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Essay</w:t>
            </w: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/ Report, Oral Exam, Presentation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in audience</w:t>
            </w: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Laboratory Report</w:t>
            </w: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,</w:t>
            </w:r>
            <w:r w:rsidRPr="007A5E99">
              <w:rPr>
                <w:lang w:val="en-US"/>
              </w:rPr>
              <w:t xml:space="preserve"> </w:t>
            </w:r>
            <w:r w:rsidRPr="007A5E99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Clinical examination of a patient,</w:t>
            </w:r>
            <w:r w:rsidRPr="007A5E99">
              <w:rPr>
                <w:lang w:val="en-US"/>
              </w:rPr>
              <w:t xml:space="preserve"> </w:t>
            </w:r>
            <w:r w:rsidRPr="007A5E99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Artistic interpretation,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Other/</w:t>
            </w: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Others</w:t>
            </w:r>
          </w:p>
          <w:p w:rsidR="00F158A6" w:rsidRPr="00073E0D" w:rsidRDefault="00F158A6" w:rsidP="00F158A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  <w:p w:rsidR="00F158A6" w:rsidRPr="003C1C58" w:rsidRDefault="00F158A6" w:rsidP="00F158A6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Please indicate all relevant information about the course assessment and how students are informed  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F158A6" w:rsidRDefault="009B3068" w:rsidP="009B3068">
            <w:pPr>
              <w:spacing w:before="60" w:after="0" w:line="240" w:lineRule="auto"/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GB"/>
              </w:rPr>
            </w:pPr>
            <w:r w:rsidRPr="00761E24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GB"/>
              </w:rPr>
              <w:t>The evaluation language is Greek.</w:t>
            </w:r>
          </w:p>
          <w:p w:rsidR="00761EFD" w:rsidRPr="00761EFD" w:rsidRDefault="00761EFD" w:rsidP="00761EFD">
            <w:pPr>
              <w:spacing w:before="60" w:after="0" w:line="240" w:lineRule="auto"/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GB"/>
              </w:rPr>
            </w:pPr>
            <w:r w:rsidRPr="00761EFD">
              <w:rPr>
                <w:rFonts w:eastAsia="Times New Roman" w:cstheme="minorHAnsi"/>
                <w:color w:val="244061" w:themeColor="accent1" w:themeShade="80"/>
                <w:sz w:val="20"/>
                <w:szCs w:val="20"/>
                <w:lang w:val="en-GB"/>
              </w:rPr>
              <w:t>The evaluation method is "Written Assignment" / "Public Presentation"</w:t>
            </w:r>
          </w:p>
          <w:p w:rsidR="00761EFD" w:rsidRPr="008B35CF" w:rsidRDefault="00761EFD" w:rsidP="008B35CF">
            <w:pPr>
              <w:pStyle w:val="a4"/>
              <w:numPr>
                <w:ilvl w:val="0"/>
                <w:numId w:val="9"/>
              </w:numPr>
              <w:spacing w:before="60" w:after="0" w:line="240" w:lineRule="auto"/>
              <w:ind w:left="129" w:hanging="129"/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</w:pPr>
            <w:r w:rsidRPr="008B35CF"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>For the final assessment:</w:t>
            </w:r>
          </w:p>
          <w:p w:rsidR="00761EFD" w:rsidRPr="00761EFD" w:rsidRDefault="00761EFD" w:rsidP="00761EFD">
            <w:pPr>
              <w:spacing w:before="60" w:after="0" w:line="240" w:lineRule="auto"/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</w:pPr>
            <w:r w:rsidRPr="00761EFD"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>The project / study plan is submitted during the 2nd week of courses and its elaboration is systematically monitored by the teachers through the counselling meetings.</w:t>
            </w:r>
          </w:p>
          <w:p w:rsidR="00F158A6" w:rsidRDefault="00761EFD" w:rsidP="00761EFD">
            <w:pPr>
              <w:spacing w:before="60" w:after="0" w:line="240" w:lineRule="auto"/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</w:pPr>
            <w:r w:rsidRPr="00761EFD"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 xml:space="preserve">The submission of the </w:t>
            </w:r>
            <w:r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>assessment</w:t>
            </w:r>
            <w:r w:rsidRPr="00761EFD"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 xml:space="preserve"> / study is done from the 11th to the 12th week of courses.</w:t>
            </w:r>
          </w:p>
          <w:p w:rsidR="008B35CF" w:rsidRPr="008B35CF" w:rsidRDefault="008B35CF" w:rsidP="00BE098C">
            <w:pPr>
              <w:pStyle w:val="a4"/>
              <w:numPr>
                <w:ilvl w:val="0"/>
                <w:numId w:val="9"/>
              </w:numPr>
              <w:spacing w:before="60" w:after="0" w:line="240" w:lineRule="auto"/>
              <w:ind w:left="129" w:hanging="129"/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</w:pPr>
            <w:r w:rsidRPr="008B35CF"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>Evaluation criteria:</w:t>
            </w:r>
          </w:p>
          <w:p w:rsidR="008B35CF" w:rsidRPr="008B35CF" w:rsidRDefault="008B35CF" w:rsidP="008B35CF">
            <w:pPr>
              <w:spacing w:before="60" w:after="0" w:line="240" w:lineRule="auto"/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</w:pPr>
            <w:r w:rsidRPr="008B35CF"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 xml:space="preserve">1. Preparation of </w:t>
            </w:r>
            <w:r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>assessment</w:t>
            </w:r>
            <w:r w:rsidRPr="008B35CF"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 xml:space="preserve"> and study according to the Instructions provided in the </w:t>
            </w:r>
            <w:r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>live</w:t>
            </w:r>
            <w:r w:rsidRPr="008B35CF"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 xml:space="preserve"> and asynchronous Consulting Meetings.</w:t>
            </w:r>
          </w:p>
          <w:p w:rsidR="008B35CF" w:rsidRPr="008B35CF" w:rsidRDefault="008B35CF" w:rsidP="008B35CF">
            <w:pPr>
              <w:spacing w:before="60" w:after="0" w:line="240" w:lineRule="auto"/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</w:pPr>
            <w:r w:rsidRPr="008B35CF"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>2. Scientific methodology, linguistic clarity, semantic completeness, sufficient bibliographic documentation, scientific adequacy.</w:t>
            </w:r>
          </w:p>
          <w:p w:rsidR="008B35CF" w:rsidRPr="008B35CF" w:rsidRDefault="008B35CF" w:rsidP="008B35CF">
            <w:pPr>
              <w:spacing w:before="60" w:after="0" w:line="240" w:lineRule="auto"/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</w:pPr>
            <w:r w:rsidRPr="008B35CF"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 xml:space="preserve">3. Public Presentation of the </w:t>
            </w:r>
            <w:r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>assessment</w:t>
            </w:r>
            <w:r w:rsidRPr="008B35CF"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 xml:space="preserve"> / study</w:t>
            </w:r>
          </w:p>
          <w:p w:rsidR="008B35CF" w:rsidRPr="008B35CF" w:rsidRDefault="008B35CF" w:rsidP="008B35CF">
            <w:pPr>
              <w:spacing w:before="60" w:after="0" w:line="240" w:lineRule="auto"/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</w:pPr>
          </w:p>
          <w:p w:rsidR="008B35CF" w:rsidRPr="00761EFD" w:rsidRDefault="008B35CF" w:rsidP="008B35CF">
            <w:pPr>
              <w:spacing w:before="60" w:after="0" w:line="240" w:lineRule="auto"/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</w:pPr>
            <w:r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>L</w:t>
            </w:r>
            <w:r w:rsidRPr="008B35CF"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>ectures</w:t>
            </w:r>
            <w:r w:rsidR="00D47DE7">
              <w:rPr>
                <w:rFonts w:ascii="Calibri" w:eastAsia="Times New Roman" w:hAnsi="Calibri" w:cs="Arial"/>
                <w:color w:val="244061" w:themeColor="accent1" w:themeShade="80"/>
              </w:rPr>
              <w:t>’</w:t>
            </w:r>
            <w:r w:rsidRPr="008B35CF"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 xml:space="preserve"> </w:t>
            </w:r>
            <w:r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>a</w:t>
            </w:r>
            <w:r w:rsidRPr="008B35CF">
              <w:rPr>
                <w:rFonts w:ascii="Calibri" w:eastAsia="Times New Roman" w:hAnsi="Calibri" w:cs="Arial"/>
                <w:color w:val="244061" w:themeColor="accent1" w:themeShade="80"/>
                <w:lang w:val="en-GB"/>
              </w:rPr>
              <w:t>ttendance is mandatory</w:t>
            </w:r>
          </w:p>
          <w:p w:rsidR="00F158A6" w:rsidRPr="00073E0D" w:rsidRDefault="00F158A6" w:rsidP="00F158A6">
            <w:pPr>
              <w:spacing w:before="60" w:after="0" w:line="240" w:lineRule="auto"/>
              <w:rPr>
                <w:rFonts w:ascii="Calibri" w:eastAsia="Times New Roman" w:hAnsi="Calibri" w:cs="Arial"/>
                <w:i/>
                <w:color w:val="244061" w:themeColor="accent1" w:themeShade="80"/>
                <w:sz w:val="16"/>
                <w:szCs w:val="16"/>
                <w:lang w:val="en-US"/>
              </w:rPr>
            </w:pPr>
          </w:p>
        </w:tc>
      </w:tr>
    </w:tbl>
    <w:p w:rsidR="00050B81" w:rsidRPr="00050B81" w:rsidRDefault="00703790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SUGGESTED BIBLIOGRAPHY</w:t>
      </w:r>
    </w:p>
    <w:tbl>
      <w:tblPr>
        <w:tblW w:w="84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740F2F" w:rsidRPr="00A16B1B" w:rsidTr="00740F2F">
        <w:tc>
          <w:tcPr>
            <w:tcW w:w="8472" w:type="dxa"/>
          </w:tcPr>
          <w:p w:rsidR="00740F2F" w:rsidRPr="00A16B1B" w:rsidRDefault="00740F2F" w:rsidP="00757C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231A" w:rsidRPr="00B229B0" w:rsidRDefault="0014231A" w:rsidP="0014231A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B229B0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GB"/>
              </w:rPr>
              <w:t>Alevriadou, A. &amp; Giaouri, S. (2015). The impact of executive functions on the written language process: Some evidence from children with writing disabilities. Journal of Psychologists and Counselors in Schools (former Australian Journal of Guidance and Counseling), 25(1), 24-37</w:t>
            </w:r>
          </w:p>
          <w:p w:rsidR="0014231A" w:rsidRPr="00A16B1B" w:rsidRDefault="0014231A" w:rsidP="0014231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16B1B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Angelides, P., Stylianou, T., &amp; Gibbs, P. (2006). Preparing teachers for inclusive education in Cyprus. </w:t>
            </w:r>
            <w:r w:rsidRPr="00A16B1B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Teaching and teacher education</w:t>
            </w:r>
            <w:r w:rsidRPr="00A16B1B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A16B1B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  <w:lang w:val="en-US"/>
              </w:rPr>
              <w:t>22</w:t>
            </w:r>
            <w:r w:rsidRPr="00A16B1B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(4), 513-522.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FF"/>
                <w:sz w:val="20"/>
                <w:szCs w:val="20"/>
                <w:lang w:val="en-US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Anastasiou, D., Kauffman, J., M. &amp; Di Nuovo. S. (2015). Inclusive education in Italy: description and reflections on full inclusion.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European Journal of Special Needs</w:t>
            </w: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Education. </w:t>
            </w:r>
            <w:hyperlink r:id="rId8" w:history="1">
              <w:r w:rsidRPr="00A16B1B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http://dx.doi.org/10.1080/08856257.2015.1060075</w:t>
              </w:r>
            </w:hyperlink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Conservative Party (2007)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Commission on Special Needs in Education</w:t>
            </w: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.</w:t>
            </w:r>
          </w:p>
          <w:p w:rsidR="0014231A" w:rsidRPr="00A16B1B" w:rsidRDefault="00F4300B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14231A" w:rsidRPr="00A16B1B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http://www.conservatives.com/tile.do?def=news.story.page&amp;obj_id=137766</w:t>
              </w:r>
            </w:hyperlink>
            <w:r w:rsidR="0014231A"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)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DfES (Department of Education and Skills) (1978).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Warnock Committee Report.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London: HMSO.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DfES (Department of Education and Skills) (2006).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Government Response to Education and Skills</w:t>
            </w: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. Committee Report on Special Educational Needs.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Hall, T. (2002).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Differentiated instruction, </w:t>
            </w: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Wakefield, MA: National Center on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Accessing the General Curriculum, Retrieved 10/05/2008 from</w:t>
            </w:r>
          </w:p>
          <w:p w:rsidR="0014231A" w:rsidRPr="00A16B1B" w:rsidRDefault="00F4300B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hyperlink r:id="rId10" w:history="1">
              <w:r w:rsidR="0014231A" w:rsidRPr="00A16B1B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http://www.cast.org/publications/ncac/ncac_diffinstruc.html</w:t>
              </w:r>
            </w:hyperlink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Lindsay, G. (2007) Educational Psychology and the effectiveness of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inclusion/mainstreaming.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British Journal of Educational Psychology</w:t>
            </w: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, 77, 1-29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</w:rPr>
              <w:t xml:space="preserve">Minder, M. (2007).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Λειτουργική Διδακτική</w:t>
            </w:r>
            <w:r w:rsidRPr="00A16B1B">
              <w:rPr>
                <w:rFonts w:cstheme="minorHAnsi"/>
                <w:color w:val="000000"/>
                <w:sz w:val="20"/>
                <w:szCs w:val="20"/>
              </w:rPr>
              <w:t>. Μτφρ. Φ. Αρβανίτης. Αθήνα</w:t>
            </w: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16B1B">
              <w:rPr>
                <w:rFonts w:cstheme="minorHAnsi"/>
                <w:color w:val="000000"/>
                <w:sz w:val="20"/>
                <w:szCs w:val="20"/>
              </w:rPr>
              <w:t>Πατάκη</w:t>
            </w: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Norwich B (2002)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Special school placement and Statements for English LEAs 1997- 2001</w:t>
            </w: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. Report for CSIE, University of Exeter.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Norwich , B. (2007a)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Dilemmas of difference, inclusion and disability: international perspectives</w:t>
            </w: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, London, Routledge (in press).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Norwich, B. (2007b) Dilemmas of inclusion and the future of education, in Cigman, R.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Included or excluded? The challenge of the mainstream for some SEN children</w:t>
            </w: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. London, Routledge.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Norwich, B. and Gray, P. (2007) Special schools in the new era: conceptual and strategicperspectives, in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Special schools in a new era: how do we go beyond generalities?</w:t>
            </w: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SEN Policy Options Paper 2 series 6. (online on 8.8.2007 at</w:t>
            </w:r>
          </w:p>
          <w:p w:rsidR="0014231A" w:rsidRPr="00A16B1B" w:rsidRDefault="00F4300B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hyperlink r:id="rId11" w:history="1">
              <w:r w:rsidR="0014231A" w:rsidRPr="00A16B1B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http://www.nasen.org.uk/NewsArticle.asp?id=SX98DC-A77F9FF2</w:t>
              </w:r>
            </w:hyperlink>
            <w:r w:rsidR="0014231A"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)</w:t>
            </w:r>
          </w:p>
          <w:p w:rsidR="0014231A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14231A" w:rsidRPr="00B229B0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229B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Stathopoulou, A., Karabatzaki, Z., Loykeris, D., Mantas, P., Kokkalia, G. &amp; Drigas, A. (2018). Cyber </w:t>
            </w:r>
          </w:p>
          <w:p w:rsidR="0014231A" w:rsidRPr="00B229B0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229B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bulling and Traumatic experiences: The impact on Learning disabilities. International. Journal </w:t>
            </w:r>
          </w:p>
          <w:p w:rsidR="0014231A" w:rsidRPr="0014231A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229B0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of Recent Contributions from Engineering, Science &amp; IT (iJES). </w:t>
            </w:r>
            <w:r w:rsidRPr="0014231A">
              <w:rPr>
                <w:rFonts w:cstheme="minorHAnsi"/>
                <w:color w:val="000000"/>
                <w:sz w:val="20"/>
                <w:szCs w:val="20"/>
              </w:rPr>
              <w:t>6, (1), 74-87</w:t>
            </w:r>
          </w:p>
          <w:p w:rsidR="0014231A" w:rsidRPr="0014231A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</w:rPr>
              <w:t xml:space="preserve">Tomlinson, C. (2004).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Διαφοροποίηση της εργασίας στην αίθουσα διδασκαλίας</w:t>
            </w:r>
            <w:r w:rsidRPr="00A16B1B">
              <w:rPr>
                <w:rFonts w:cstheme="minorHAnsi"/>
                <w:color w:val="000000"/>
                <w:sz w:val="20"/>
                <w:szCs w:val="20"/>
              </w:rPr>
              <w:t>. Μτφρ. Χ. Θεοφιλίδης &amp; Δ. Μαρτίδου-Φορσιέ. Αθήνα: Γρηγόρη.</w:t>
            </w:r>
          </w:p>
          <w:p w:rsidR="0014231A" w:rsidRPr="00A16B1B" w:rsidRDefault="0014231A" w:rsidP="0014231A">
            <w:pPr>
              <w:pStyle w:val="PMEReferences"/>
              <w:spacing w:after="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4231A" w:rsidRPr="00A16B1B" w:rsidRDefault="0014231A" w:rsidP="0014231A">
            <w:pPr>
              <w:pStyle w:val="PMEReferences"/>
              <w:spacing w:after="0"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16B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Tomlinson</w:t>
            </w:r>
            <w:r w:rsidRPr="00A16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A16B1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A16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  <w:r w:rsidRPr="00A16B1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6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(2011). Πώς να διαφοροποιήσουμε τη διδασκαλία σε τάξεις μικτής ικανότητας (Ειρ. Κορρέ</w:t>
            </w:r>
            <w:r w:rsidRPr="00A16B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A16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Μτφρ</w:t>
            </w:r>
            <w:r w:rsidRPr="00A16B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.). </w:t>
            </w:r>
            <w:r w:rsidRPr="00A16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Αθήνα</w:t>
            </w:r>
            <w:r w:rsidRPr="00A16B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A16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Γρηγόρη</w:t>
            </w:r>
            <w:r w:rsidRPr="00A16B1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UNESCO (1994).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The Salamanca statement and framework for action on special needs education</w:t>
            </w: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. Paris: UNESCO.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Warnock, M. (2005).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>Special Educational Needs: a new look</w:t>
            </w:r>
            <w:r w:rsidRPr="00A16B1B">
              <w:rPr>
                <w:rFonts w:cstheme="minorHAnsi"/>
                <w:color w:val="000000"/>
                <w:sz w:val="20"/>
                <w:szCs w:val="20"/>
                <w:lang w:val="en-US"/>
              </w:rPr>
              <w:t>. London: Philosophy of Education Society of GB.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A16B1B">
              <w:rPr>
                <w:rFonts w:cstheme="minorHAnsi"/>
                <w:sz w:val="20"/>
                <w:szCs w:val="20"/>
              </w:rPr>
              <w:t xml:space="preserve">Αγαλιώτης, Ι. (2013). Προϋποθέσεις και προοπτικές της επιτυχούς εκπαιδευτικής και κοινωνικής συμπερίληψης μαθητών με ειδικές ανάγκες στο ελληνικό γενικό σχολείο, </w:t>
            </w:r>
            <w:r w:rsidRPr="00A16B1B">
              <w:rPr>
                <w:rFonts w:cstheme="minorHAnsi"/>
                <w:i/>
                <w:sz w:val="20"/>
                <w:szCs w:val="20"/>
              </w:rPr>
              <w:t xml:space="preserve">Δελτίο εκπαιδευτικού προβληματισμού και επικοινωνίας, </w:t>
            </w:r>
            <w:r w:rsidRPr="00A16B1B">
              <w:rPr>
                <w:rFonts w:cstheme="minorHAnsi"/>
                <w:sz w:val="20"/>
                <w:szCs w:val="20"/>
              </w:rPr>
              <w:t>51, 15-19.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A16B1B">
              <w:rPr>
                <w:rFonts w:cstheme="minorHAnsi"/>
                <w:sz w:val="20"/>
                <w:szCs w:val="20"/>
              </w:rPr>
              <w:t>Αγγελίδης, Π. &amp; Χατζησωτηρίου Χ. (2013).  Συμπεριληπτική εκπαίδευση,</w:t>
            </w:r>
            <w:r w:rsidRPr="00A16B1B">
              <w:rPr>
                <w:rFonts w:cstheme="minorHAnsi"/>
                <w:i/>
                <w:sz w:val="20"/>
                <w:szCs w:val="20"/>
              </w:rPr>
              <w:t xml:space="preserve"> Δελτίο εκπαιδευτικού προβληματισμού και επικοινωνίας, </w:t>
            </w:r>
            <w:r w:rsidRPr="00A16B1B">
              <w:rPr>
                <w:rFonts w:cstheme="minorHAnsi"/>
                <w:sz w:val="20"/>
                <w:szCs w:val="20"/>
              </w:rPr>
              <w:t>51, 10-14.</w:t>
            </w:r>
          </w:p>
          <w:p w:rsidR="0014231A" w:rsidRPr="00A16B1B" w:rsidRDefault="0014231A" w:rsidP="0014231A">
            <w:pPr>
              <w:rPr>
                <w:rFonts w:cstheme="minorHAnsi"/>
                <w:sz w:val="20"/>
                <w:szCs w:val="20"/>
              </w:rPr>
            </w:pPr>
            <w:r w:rsidRPr="00A16B1B">
              <w:rPr>
                <w:rFonts w:cstheme="minorHAnsi"/>
                <w:sz w:val="20"/>
                <w:szCs w:val="20"/>
              </w:rPr>
              <w:t xml:space="preserve">Αγγελίδης, Π., &amp; Αβραμίδου, Λ. (2011). </w:t>
            </w:r>
            <w:r w:rsidRPr="00A16B1B">
              <w:rPr>
                <w:rFonts w:cstheme="minorHAnsi"/>
                <w:i/>
                <w:sz w:val="20"/>
                <w:szCs w:val="20"/>
              </w:rPr>
              <w:t>Ανάπτυξη συμπεριληπτικής εκπαίδευσης μέσα από άτυπα περιβάλλοντα μάθησης</w:t>
            </w:r>
            <w:r w:rsidRPr="00A16B1B">
              <w:rPr>
                <w:rFonts w:cstheme="minorHAnsi"/>
                <w:sz w:val="20"/>
                <w:szCs w:val="20"/>
              </w:rPr>
              <w:t>. Στο Π. Αγγελίδης (Επιμ.), Παιδαγωγικές της συμπερίληψης. Αθήνα: Διάδραση.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6B1B">
              <w:rPr>
                <w:rFonts w:cstheme="minorHAnsi"/>
                <w:sz w:val="20"/>
                <w:szCs w:val="20"/>
              </w:rPr>
              <w:t>Αγγελίδης κ.ά.(2002), «Καθ' οδόν προς τη συμπεριληπτική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16B1B">
              <w:rPr>
                <w:rFonts w:cstheme="minorHAnsi"/>
                <w:sz w:val="20"/>
                <w:szCs w:val="20"/>
              </w:rPr>
              <w:t>εκπαίδευση στην Κύπρο»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231A" w:rsidRPr="00A16B1B" w:rsidRDefault="0014231A" w:rsidP="0014231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16B1B">
              <w:rPr>
                <w:rFonts w:cstheme="minorHAnsi"/>
                <w:sz w:val="20"/>
                <w:szCs w:val="20"/>
              </w:rPr>
              <w:t xml:space="preserve">Βαλιαντή, Σ.  (2015). Η Διαφοροποίηση της Διδασκαλίας σε Τάξεις Μικτής Ικανότητας μέσα από τις Εμπειρίες Εκπαιδευτικών και Μαθητών: Μια Ποιοτική Διερεύνηση της Αποτελεσματικότητας και των Προϋποθέσεων Εφαρμογής της. </w:t>
            </w:r>
            <w:r w:rsidRPr="00A16B1B">
              <w:rPr>
                <w:rFonts w:cstheme="minorHAnsi"/>
                <w:i/>
                <w:sz w:val="20"/>
                <w:szCs w:val="20"/>
              </w:rPr>
              <w:t>Επιστήμες Αγωγής</w:t>
            </w:r>
            <w:r w:rsidRPr="00A16B1B">
              <w:rPr>
                <w:rFonts w:cstheme="minorHAnsi"/>
                <w:sz w:val="20"/>
                <w:szCs w:val="20"/>
              </w:rPr>
              <w:t xml:space="preserve">, 1/2015, 7-35. 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16B1B">
              <w:rPr>
                <w:rFonts w:cstheme="minorHAnsi"/>
                <w:sz w:val="20"/>
                <w:szCs w:val="20"/>
              </w:rPr>
              <w:t xml:space="preserve">Γερμανός, Δ. (2006). </w:t>
            </w:r>
            <w:r w:rsidRPr="00A16B1B">
              <w:rPr>
                <w:rFonts w:cstheme="minorHAnsi"/>
                <w:i/>
                <w:iCs/>
                <w:sz w:val="20"/>
                <w:szCs w:val="20"/>
              </w:rPr>
              <w:t xml:space="preserve">Οι Τοίχοι της Γνώσης. Σχολικός Χώρος και Εκπαίδευση. </w:t>
            </w:r>
            <w:r w:rsidRPr="00A16B1B">
              <w:rPr>
                <w:rFonts w:cstheme="minorHAnsi"/>
                <w:sz w:val="20"/>
                <w:szCs w:val="20"/>
              </w:rPr>
              <w:t>Αθήνα: Gutenberg.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16B1B">
              <w:rPr>
                <w:rFonts w:cstheme="minorHAnsi"/>
                <w:sz w:val="20"/>
                <w:szCs w:val="20"/>
              </w:rPr>
              <w:t xml:space="preserve">Γερμανός, Δ. (2011). Ο χώρος ως παράγοντας αναβάθμισης του εκπαιδευτικού περιβάλλοντος στο νηπιαγωγείο. Στο Χρυσαφίδης, Κ. και Σιβροπούλου, Ε. (Επιμ.). </w:t>
            </w:r>
            <w:r w:rsidRPr="00A16B1B">
              <w:rPr>
                <w:rFonts w:cstheme="minorHAnsi"/>
                <w:i/>
                <w:iCs/>
                <w:sz w:val="20"/>
                <w:szCs w:val="20"/>
              </w:rPr>
              <w:t xml:space="preserve">Αρχές και προοπτικές της προσχολικής εκπαίδευσης </w:t>
            </w:r>
            <w:r w:rsidRPr="00A16B1B">
              <w:rPr>
                <w:rFonts w:cstheme="minorHAnsi"/>
                <w:sz w:val="20"/>
                <w:szCs w:val="20"/>
              </w:rPr>
              <w:t>(σ.σ. 23-42).Αθήνα: Κυριακίδη.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</w:rPr>
              <w:t xml:space="preserve">Δελλασούδας, Λ. (2003).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Σχολική ένταξη μαθητών με ειδικές εκπαιδευτικές ανάγκες</w:t>
            </w:r>
            <w:r w:rsidRPr="00A16B1B">
              <w:rPr>
                <w:rFonts w:cstheme="minorHAnsi"/>
                <w:color w:val="000000"/>
                <w:sz w:val="20"/>
                <w:szCs w:val="20"/>
              </w:rPr>
              <w:t>. Αθήνα: Ατραπός.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</w:rPr>
              <w:t xml:space="preserve">Ζώνιου- Σιδέρη, Α. (1998). </w:t>
            </w:r>
            <w:r w:rsidRPr="00A16B1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Οι ανάπηροι και η εκπαίδευσή τους</w:t>
            </w:r>
            <w:r w:rsidRPr="00A16B1B">
              <w:rPr>
                <w:rFonts w:cstheme="minorHAnsi"/>
                <w:color w:val="000000"/>
                <w:sz w:val="20"/>
                <w:szCs w:val="20"/>
              </w:rPr>
              <w:t>. Αθήνα: Ελληνικά</w:t>
            </w:r>
          </w:p>
          <w:p w:rsidR="0014231A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16B1B">
              <w:rPr>
                <w:rFonts w:cstheme="minorHAnsi"/>
                <w:color w:val="000000"/>
                <w:sz w:val="20"/>
                <w:szCs w:val="20"/>
              </w:rPr>
              <w:t>Γράμματα.</w:t>
            </w:r>
          </w:p>
          <w:p w:rsidR="0014231A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229B0">
              <w:rPr>
                <w:rFonts w:cstheme="minorHAnsi"/>
                <w:color w:val="000000"/>
                <w:sz w:val="20"/>
                <w:szCs w:val="20"/>
              </w:rPr>
              <w:t>Καραμπατζάκη-Δημητρίου, Ζ. (2010). Θέματα Ειδικής Αγωγής και Εκπαίδευσης. Αθήνα: Πάραλος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231A" w:rsidRPr="00A16B1B" w:rsidRDefault="0014231A" w:rsidP="0014231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16B1B">
              <w:rPr>
                <w:rFonts w:cstheme="minorHAnsi"/>
                <w:sz w:val="20"/>
                <w:szCs w:val="20"/>
              </w:rPr>
              <w:t xml:space="preserve">Οικονομίδης, Β., Λιναρδάκης, Μ. (2012). </w:t>
            </w:r>
            <w:r w:rsidRPr="00A16B1B">
              <w:rPr>
                <w:rFonts w:cstheme="minorHAnsi"/>
                <w:i/>
                <w:sz w:val="20"/>
                <w:szCs w:val="20"/>
              </w:rPr>
              <w:t>Η ποιότητα της αίθουσας διδασκαλίας στο νηπιαγωγείο: γωνίες δραστηριοτήτων και εξοπλισμός.</w:t>
            </w:r>
            <w:r w:rsidRPr="00A16B1B">
              <w:rPr>
                <w:rFonts w:cstheme="minorHAnsi"/>
                <w:sz w:val="20"/>
                <w:szCs w:val="20"/>
              </w:rPr>
              <w:t xml:space="preserve"> Στο Πρακτικά Συνεδρίου: Η Ποιότητα στην Εκπαίδευση: Τάσεις και Προοπτικές. (11-13 Μαΐου 2012). 1, 770-781.</w:t>
            </w:r>
          </w:p>
          <w:p w:rsidR="0014231A" w:rsidRPr="00A16B1B" w:rsidRDefault="0014231A" w:rsidP="00142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14231A" w:rsidRPr="00A16B1B" w:rsidRDefault="0014231A" w:rsidP="0014231A">
            <w:pPr>
              <w:pStyle w:val="ab"/>
              <w:ind w:left="720" w:hanging="720"/>
              <w:rPr>
                <w:rFonts w:cstheme="minorHAnsi"/>
                <w:sz w:val="20"/>
                <w:szCs w:val="20"/>
              </w:rPr>
            </w:pPr>
            <w:r w:rsidRPr="00A16B1B">
              <w:rPr>
                <w:rFonts w:cstheme="minorHAnsi"/>
                <w:sz w:val="20"/>
                <w:szCs w:val="20"/>
              </w:rPr>
              <w:t xml:space="preserve">Σούλης, Σ.-Γ. (2008). </w:t>
            </w:r>
            <w:r w:rsidRPr="00A16B1B">
              <w:rPr>
                <w:rFonts w:cstheme="minorHAnsi"/>
                <w:i/>
                <w:iCs/>
                <w:sz w:val="20"/>
                <w:szCs w:val="20"/>
              </w:rPr>
              <w:t>Ένα σχολείο για Όλους, απο την έρευνα στην πράξη</w:t>
            </w:r>
            <w:r w:rsidR="00FB78FB">
              <w:rPr>
                <w:rFonts w:cstheme="minorHAnsi"/>
                <w:sz w:val="20"/>
                <w:szCs w:val="20"/>
              </w:rPr>
              <w:t xml:space="preserve"> (Τόμ.Β').Αθή</w:t>
            </w:r>
            <w:r w:rsidRPr="00A16B1B">
              <w:rPr>
                <w:rFonts w:cstheme="minorHAnsi"/>
                <w:sz w:val="20"/>
                <w:szCs w:val="20"/>
              </w:rPr>
              <w:t>να: Gutenberg.</w:t>
            </w:r>
          </w:p>
          <w:p w:rsidR="00740F2F" w:rsidRPr="0014231A" w:rsidRDefault="0014231A" w:rsidP="0014231A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A16B1B">
              <w:rPr>
                <w:rFonts w:cstheme="minorHAnsi"/>
                <w:sz w:val="20"/>
                <w:szCs w:val="20"/>
              </w:rPr>
              <w:t xml:space="preserve">Σταμάτης, Π. Ι. (2006). Κτιριολογικός σχεδιασμός εκπαιδευτικών μονάδων. Στο Συλλογικό Τόμο του ΤΕΠΑΕΣ. Στο Φ. Καλαβάσης και Α. Κοντάκος (Επιμ.), </w:t>
            </w:r>
            <w:r w:rsidRPr="00A16B1B">
              <w:rPr>
                <w:rFonts w:cstheme="minorHAnsi"/>
                <w:i/>
                <w:sz w:val="20"/>
                <w:szCs w:val="20"/>
              </w:rPr>
              <w:t>Θέματα Εκπαιδευτικού Σχεδιασμού</w:t>
            </w:r>
            <w:r w:rsidRPr="00A16B1B">
              <w:rPr>
                <w:rFonts w:cstheme="minorHAnsi"/>
                <w:sz w:val="20"/>
                <w:szCs w:val="20"/>
              </w:rPr>
              <w:t xml:space="preserve">, Αθήνα: Ατραπός, 84-99. </w:t>
            </w:r>
          </w:p>
        </w:tc>
      </w:tr>
    </w:tbl>
    <w:p w:rsidR="000D22C3" w:rsidRPr="002D2F2C" w:rsidRDefault="000D22C3"/>
    <w:sectPr w:rsidR="000D22C3" w:rsidRPr="002D2F2C" w:rsidSect="00580E4E">
      <w:headerReference w:type="default" r:id="rId12"/>
      <w:footerReference w:type="default" r:id="rId13"/>
      <w:pgSz w:w="11906" w:h="16838"/>
      <w:pgMar w:top="1418" w:right="1416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E8" w:rsidRDefault="005D26E8" w:rsidP="0093078D">
      <w:pPr>
        <w:spacing w:after="0" w:line="240" w:lineRule="auto"/>
      </w:pPr>
      <w:r>
        <w:separator/>
      </w:r>
    </w:p>
  </w:endnote>
  <w:endnote w:type="continuationSeparator" w:id="0">
    <w:p w:rsidR="005D26E8" w:rsidRDefault="005D26E8" w:rsidP="0093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8D" w:rsidRPr="00FA1219" w:rsidRDefault="00F83FD3" w:rsidP="00493DE7">
    <w:pPr>
      <w:pStyle w:val="a6"/>
      <w:tabs>
        <w:tab w:val="clear" w:pos="4153"/>
        <w:tab w:val="center" w:pos="567"/>
      </w:tabs>
      <w:rPr>
        <w:b/>
        <w:color w:val="244061" w:themeColor="accent1" w:themeShade="80"/>
        <w:sz w:val="16"/>
        <w:szCs w:val="16"/>
      </w:rPr>
    </w:pPr>
    <w:r w:rsidRPr="00F83FD3">
      <w:rPr>
        <w:rFonts w:ascii="Calibri" w:eastAsia="Times New Roman" w:hAnsi="Calibri" w:cs="Times New Roman"/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-131445</wp:posOffset>
          </wp:positionV>
          <wp:extent cx="710565" cy="679450"/>
          <wp:effectExtent l="0" t="0" r="0" b="6350"/>
          <wp:wrapSquare wrapText="bothSides"/>
          <wp:docPr id="33" name="Εικόνα 33" descr="C:\Users\sgavaki\Desktop\LOGO's\ΛΟΓΟΤΥΠΟ ΠΙΣΤΟΠΟΙΗΣΗΣ-ΑΔΙΠ\Logo_ΠΙΣΤΟΠΟΙΗΜΕΝΟ ΕΣΔ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gavaki\Desktop\LOGO's\ΛΟΓΟΤΥΠΟ ΠΙΣΤΟΠΟΙΗΣΗΣ-ΑΔΙΠ\Logo_ΠΙΣΤΟΠΟΙΗΜΕΝΟ ΕΣΔΠ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1219">
      <w:ptab w:relativeTo="margin" w:alignment="center" w:leader="none"/>
    </w:r>
    <w:r w:rsidR="00493DE7">
      <w:rPr>
        <w:lang w:val="en-US"/>
      </w:rPr>
      <w:t xml:space="preserve"> </w:t>
    </w:r>
    <w:r w:rsidR="00FA1219" w:rsidRPr="00FA1219">
      <w:rPr>
        <w:b/>
        <w:color w:val="244061" w:themeColor="accent1" w:themeShade="80"/>
        <w:sz w:val="16"/>
        <w:szCs w:val="16"/>
      </w:rPr>
      <w:ptab w:relativeTo="margin" w:alignment="right" w:leader="none"/>
    </w:r>
    <w:r w:rsidR="00493DE7">
      <w:rPr>
        <w:b/>
        <w:color w:val="244061" w:themeColor="accent1" w:themeShade="80"/>
        <w:sz w:val="16"/>
        <w:szCs w:val="16"/>
        <w:lang w:val="en-US"/>
      </w:rPr>
      <w:t xml:space="preserve"> </w:t>
    </w:r>
    <w:r w:rsidR="00FA1219" w:rsidRPr="00FA1219">
      <w:rPr>
        <w:b/>
        <w:color w:val="244061" w:themeColor="accent1" w:themeShade="80"/>
        <w:sz w:val="16"/>
        <w:szCs w:val="16"/>
      </w:rPr>
      <w:t xml:space="preserve">Σελίδα </w:t>
    </w:r>
    <w:r w:rsidR="00F4300B" w:rsidRPr="00FA1219">
      <w:rPr>
        <w:b/>
        <w:bCs/>
        <w:color w:val="244061" w:themeColor="accent1" w:themeShade="80"/>
        <w:sz w:val="16"/>
        <w:szCs w:val="16"/>
      </w:rPr>
      <w:fldChar w:fldCharType="begin"/>
    </w:r>
    <w:r w:rsidR="00FA1219" w:rsidRPr="00FA1219">
      <w:rPr>
        <w:b/>
        <w:bCs/>
        <w:color w:val="244061" w:themeColor="accent1" w:themeShade="80"/>
        <w:sz w:val="16"/>
        <w:szCs w:val="16"/>
      </w:rPr>
      <w:instrText>PAGE  \* Arabic  \* MERGEFORMAT</w:instrText>
    </w:r>
    <w:r w:rsidR="00F4300B" w:rsidRPr="00FA1219">
      <w:rPr>
        <w:b/>
        <w:bCs/>
        <w:color w:val="244061" w:themeColor="accent1" w:themeShade="80"/>
        <w:sz w:val="16"/>
        <w:szCs w:val="16"/>
      </w:rPr>
      <w:fldChar w:fldCharType="separate"/>
    </w:r>
    <w:r w:rsidR="005D26E8">
      <w:rPr>
        <w:b/>
        <w:bCs/>
        <w:noProof/>
        <w:color w:val="244061" w:themeColor="accent1" w:themeShade="80"/>
        <w:sz w:val="16"/>
        <w:szCs w:val="16"/>
      </w:rPr>
      <w:t>1</w:t>
    </w:r>
    <w:r w:rsidR="00F4300B" w:rsidRPr="00FA1219">
      <w:rPr>
        <w:b/>
        <w:bCs/>
        <w:color w:val="244061" w:themeColor="accent1" w:themeShade="80"/>
        <w:sz w:val="16"/>
        <w:szCs w:val="16"/>
      </w:rPr>
      <w:fldChar w:fldCharType="end"/>
    </w:r>
    <w:r w:rsidR="00FA1219" w:rsidRPr="00FA1219">
      <w:rPr>
        <w:b/>
        <w:color w:val="244061" w:themeColor="accent1" w:themeShade="80"/>
        <w:sz w:val="16"/>
        <w:szCs w:val="16"/>
      </w:rPr>
      <w:t xml:space="preserve"> από </w:t>
    </w:r>
    <w:fldSimple w:instr="NUMPAGES  \* Arabic  \* MERGEFORMAT">
      <w:r w:rsidR="005D26E8" w:rsidRPr="005D26E8">
        <w:rPr>
          <w:b/>
          <w:bCs/>
          <w:noProof/>
          <w:color w:val="244061" w:themeColor="accent1" w:themeShade="80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E8" w:rsidRDefault="005D26E8" w:rsidP="0093078D">
      <w:pPr>
        <w:spacing w:after="0" w:line="240" w:lineRule="auto"/>
      </w:pPr>
      <w:r>
        <w:separator/>
      </w:r>
    </w:p>
  </w:footnote>
  <w:footnote w:type="continuationSeparator" w:id="0">
    <w:p w:rsidR="005D26E8" w:rsidRDefault="005D26E8" w:rsidP="0093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8D" w:rsidRDefault="00F83FD3" w:rsidP="0093078D">
    <w:pPr>
      <w:pStyle w:val="a5"/>
      <w:jc w:val="center"/>
    </w:pPr>
    <w:r w:rsidRPr="00F83FD3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5715</wp:posOffset>
          </wp:positionV>
          <wp:extent cx="609600" cy="609600"/>
          <wp:effectExtent l="0" t="0" r="0" b="0"/>
          <wp:wrapSquare wrapText="bothSides"/>
          <wp:docPr id="31" name="Εικόνα 31" descr="C:\Users\sgavaki\Desktop\logo_20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avaki\Desktop\logo_200x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078D" w:rsidRPr="003450F4">
      <w:rPr>
        <w:noProof/>
        <w:lang w:eastAsia="el-GR"/>
      </w:rPr>
      <w:drawing>
        <wp:inline distT="0" distB="0" distL="0" distR="0">
          <wp:extent cx="2482054" cy="561975"/>
          <wp:effectExtent l="0" t="0" r="0" b="0"/>
          <wp:docPr id="32" name="Εικόνα 32" descr="C:\Users\user\Desktop\ΜΟΔΙΠ\ΛΟΓΟΤΥΠΟ-ΑΦΙΣΑ ΜΟΔΙΠ\ΛΟΓΟΤΥΠΟ\MODIP DUTH_Logo - FinalSent\full\MODIP DUTH_Logo - FinalSent full_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ΜΟΔΙΠ\ΛΟΓΟΤΥΠΟ-ΑΦΙΣΑ ΜΟΔΙΠ\ΛΟΓΟΤΥΠΟ\MODIP DUTH_Logo - FinalSent\full\MODIP DUTH_Logo - FinalSent full_b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337" cy="570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D358E"/>
    <w:multiLevelType w:val="hybridMultilevel"/>
    <w:tmpl w:val="6E3A001A"/>
    <w:lvl w:ilvl="0" w:tplc="FE9C57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C1BA2"/>
    <w:multiLevelType w:val="hybridMultilevel"/>
    <w:tmpl w:val="82685A2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6F486953"/>
    <w:multiLevelType w:val="hybridMultilevel"/>
    <w:tmpl w:val="46A0E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51C9F"/>
    <w:multiLevelType w:val="hybridMultilevel"/>
    <w:tmpl w:val="4824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55DC1"/>
    <w:multiLevelType w:val="hybridMultilevel"/>
    <w:tmpl w:val="F214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50B81"/>
    <w:rsid w:val="00042908"/>
    <w:rsid w:val="00047AC5"/>
    <w:rsid w:val="00050B81"/>
    <w:rsid w:val="00073E0D"/>
    <w:rsid w:val="0009410D"/>
    <w:rsid w:val="000976A0"/>
    <w:rsid w:val="000A117C"/>
    <w:rsid w:val="000B51D3"/>
    <w:rsid w:val="000C4F29"/>
    <w:rsid w:val="000D22C3"/>
    <w:rsid w:val="000E346B"/>
    <w:rsid w:val="000F61F3"/>
    <w:rsid w:val="0010763D"/>
    <w:rsid w:val="00113F37"/>
    <w:rsid w:val="001359FD"/>
    <w:rsid w:val="0014231A"/>
    <w:rsid w:val="00143EEF"/>
    <w:rsid w:val="0017039E"/>
    <w:rsid w:val="00181B26"/>
    <w:rsid w:val="001A3F9B"/>
    <w:rsid w:val="001B09AE"/>
    <w:rsid w:val="001D27D6"/>
    <w:rsid w:val="001E4DAD"/>
    <w:rsid w:val="001E5CEF"/>
    <w:rsid w:val="0020571B"/>
    <w:rsid w:val="00207F39"/>
    <w:rsid w:val="002161EF"/>
    <w:rsid w:val="00242B33"/>
    <w:rsid w:val="002468E4"/>
    <w:rsid w:val="00291429"/>
    <w:rsid w:val="002B71B0"/>
    <w:rsid w:val="002D2F2C"/>
    <w:rsid w:val="002E5308"/>
    <w:rsid w:val="002F058E"/>
    <w:rsid w:val="003071DC"/>
    <w:rsid w:val="00330403"/>
    <w:rsid w:val="0033499E"/>
    <w:rsid w:val="003367D3"/>
    <w:rsid w:val="00342BBD"/>
    <w:rsid w:val="0035048E"/>
    <w:rsid w:val="00354B54"/>
    <w:rsid w:val="00363DA1"/>
    <w:rsid w:val="00396AA2"/>
    <w:rsid w:val="003A733E"/>
    <w:rsid w:val="003B45BC"/>
    <w:rsid w:val="003C1C58"/>
    <w:rsid w:val="003D0136"/>
    <w:rsid w:val="003D59E9"/>
    <w:rsid w:val="00411781"/>
    <w:rsid w:val="00421BA7"/>
    <w:rsid w:val="00441EB2"/>
    <w:rsid w:val="0045520A"/>
    <w:rsid w:val="00456759"/>
    <w:rsid w:val="00493DE7"/>
    <w:rsid w:val="004B27A0"/>
    <w:rsid w:val="004F102C"/>
    <w:rsid w:val="00506321"/>
    <w:rsid w:val="00517B3A"/>
    <w:rsid w:val="00523E95"/>
    <w:rsid w:val="00544385"/>
    <w:rsid w:val="0054660D"/>
    <w:rsid w:val="00550CF5"/>
    <w:rsid w:val="005512F3"/>
    <w:rsid w:val="00551F1C"/>
    <w:rsid w:val="00580E4E"/>
    <w:rsid w:val="00586EF9"/>
    <w:rsid w:val="005B4A8A"/>
    <w:rsid w:val="005B5625"/>
    <w:rsid w:val="005C7809"/>
    <w:rsid w:val="005D253A"/>
    <w:rsid w:val="005D26E8"/>
    <w:rsid w:val="005E169E"/>
    <w:rsid w:val="005F2394"/>
    <w:rsid w:val="005F287E"/>
    <w:rsid w:val="00600B0F"/>
    <w:rsid w:val="006078C9"/>
    <w:rsid w:val="00631977"/>
    <w:rsid w:val="00641E0B"/>
    <w:rsid w:val="00663277"/>
    <w:rsid w:val="00664148"/>
    <w:rsid w:val="00670120"/>
    <w:rsid w:val="00696824"/>
    <w:rsid w:val="006A25D9"/>
    <w:rsid w:val="006C1D88"/>
    <w:rsid w:val="006E6E95"/>
    <w:rsid w:val="00703790"/>
    <w:rsid w:val="00705DD6"/>
    <w:rsid w:val="007245CC"/>
    <w:rsid w:val="00726337"/>
    <w:rsid w:val="00740F2F"/>
    <w:rsid w:val="00761EFD"/>
    <w:rsid w:val="007919CF"/>
    <w:rsid w:val="007A5E99"/>
    <w:rsid w:val="007B055E"/>
    <w:rsid w:val="007B2AE5"/>
    <w:rsid w:val="007F2431"/>
    <w:rsid w:val="0080413A"/>
    <w:rsid w:val="00804271"/>
    <w:rsid w:val="00860BC3"/>
    <w:rsid w:val="008627DF"/>
    <w:rsid w:val="008A610B"/>
    <w:rsid w:val="008B35CF"/>
    <w:rsid w:val="008C0948"/>
    <w:rsid w:val="008C4419"/>
    <w:rsid w:val="008C6E88"/>
    <w:rsid w:val="008E02E2"/>
    <w:rsid w:val="008F1699"/>
    <w:rsid w:val="008F5D8A"/>
    <w:rsid w:val="00907017"/>
    <w:rsid w:val="00923BE7"/>
    <w:rsid w:val="00927595"/>
    <w:rsid w:val="0093078D"/>
    <w:rsid w:val="00974C95"/>
    <w:rsid w:val="00984501"/>
    <w:rsid w:val="009B3068"/>
    <w:rsid w:val="009D2CCA"/>
    <w:rsid w:val="009F5628"/>
    <w:rsid w:val="00A17609"/>
    <w:rsid w:val="00A45BD0"/>
    <w:rsid w:val="00AB6B1B"/>
    <w:rsid w:val="00AE4D3F"/>
    <w:rsid w:val="00B04ADF"/>
    <w:rsid w:val="00B25922"/>
    <w:rsid w:val="00B50FBC"/>
    <w:rsid w:val="00B60A5A"/>
    <w:rsid w:val="00B66EDB"/>
    <w:rsid w:val="00B67CA1"/>
    <w:rsid w:val="00B75F6D"/>
    <w:rsid w:val="00B81E6D"/>
    <w:rsid w:val="00B83F33"/>
    <w:rsid w:val="00B844FB"/>
    <w:rsid w:val="00B97427"/>
    <w:rsid w:val="00BB2C88"/>
    <w:rsid w:val="00BC51D9"/>
    <w:rsid w:val="00BD45C4"/>
    <w:rsid w:val="00BE098C"/>
    <w:rsid w:val="00C0168F"/>
    <w:rsid w:val="00C01CDB"/>
    <w:rsid w:val="00C17BE0"/>
    <w:rsid w:val="00C4590B"/>
    <w:rsid w:val="00CB11A1"/>
    <w:rsid w:val="00CB65DF"/>
    <w:rsid w:val="00CD04E2"/>
    <w:rsid w:val="00D01F31"/>
    <w:rsid w:val="00D05B60"/>
    <w:rsid w:val="00D4231F"/>
    <w:rsid w:val="00D47DE7"/>
    <w:rsid w:val="00D5002E"/>
    <w:rsid w:val="00D606F0"/>
    <w:rsid w:val="00D737CB"/>
    <w:rsid w:val="00D9278F"/>
    <w:rsid w:val="00DA6A3C"/>
    <w:rsid w:val="00DB3F60"/>
    <w:rsid w:val="00E35749"/>
    <w:rsid w:val="00EB207D"/>
    <w:rsid w:val="00EB35C0"/>
    <w:rsid w:val="00ED4F95"/>
    <w:rsid w:val="00EE03B1"/>
    <w:rsid w:val="00F077EC"/>
    <w:rsid w:val="00F158A6"/>
    <w:rsid w:val="00F23BBC"/>
    <w:rsid w:val="00F4300B"/>
    <w:rsid w:val="00F5680E"/>
    <w:rsid w:val="00F643F8"/>
    <w:rsid w:val="00F83FD3"/>
    <w:rsid w:val="00F947BF"/>
    <w:rsid w:val="00FA1219"/>
    <w:rsid w:val="00FB78FB"/>
    <w:rsid w:val="00FC2190"/>
    <w:rsid w:val="00FD52B8"/>
    <w:rsid w:val="00FE0513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68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3078D"/>
  </w:style>
  <w:style w:type="paragraph" w:styleId="a6">
    <w:name w:val="footer"/>
    <w:basedOn w:val="a"/>
    <w:link w:val="Char0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3078D"/>
  </w:style>
  <w:style w:type="paragraph" w:styleId="a7">
    <w:name w:val="Balloon Text"/>
    <w:basedOn w:val="a"/>
    <w:link w:val="Char1"/>
    <w:uiPriority w:val="99"/>
    <w:semiHidden/>
    <w:unhideWhenUsed/>
    <w:rsid w:val="0045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6759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39"/>
    <w:rsid w:val="0066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30403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33040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33040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3040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330403"/>
    <w:rPr>
      <w:b/>
      <w:bCs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FD52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D52B8"/>
    <w:rPr>
      <w:rFonts w:ascii="Consolas" w:hAnsi="Consolas"/>
      <w:sz w:val="20"/>
      <w:szCs w:val="20"/>
    </w:rPr>
  </w:style>
  <w:style w:type="character" w:styleId="-">
    <w:name w:val="Hyperlink"/>
    <w:basedOn w:val="a0"/>
    <w:uiPriority w:val="99"/>
    <w:unhideWhenUsed/>
    <w:rsid w:val="00AE4D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4D3F"/>
    <w:rPr>
      <w:color w:val="605E5C"/>
      <w:shd w:val="clear" w:color="auto" w:fill="E1DFDD"/>
    </w:rPr>
  </w:style>
  <w:style w:type="paragraph" w:styleId="ab">
    <w:name w:val="Bibliography"/>
    <w:basedOn w:val="a"/>
    <w:next w:val="a"/>
    <w:uiPriority w:val="37"/>
    <w:semiHidden/>
    <w:unhideWhenUsed/>
    <w:rsid w:val="002D2F2C"/>
  </w:style>
  <w:style w:type="paragraph" w:customStyle="1" w:styleId="PMEReferences">
    <w:name w:val="PME References"/>
    <w:basedOn w:val="a"/>
    <w:uiPriority w:val="99"/>
    <w:rsid w:val="00740F2F"/>
    <w:pPr>
      <w:autoSpaceDE w:val="0"/>
      <w:autoSpaceDN w:val="0"/>
      <w:spacing w:after="120" w:line="260" w:lineRule="atLeast"/>
      <w:ind w:left="289" w:hanging="289"/>
      <w:jc w:val="both"/>
    </w:pPr>
    <w:rPr>
      <w:rFonts w:ascii="Times New Roman" w:eastAsia="PMingLiU" w:hAnsi="Times New Roman" w:cs="Times New Roman"/>
      <w:sz w:val="26"/>
      <w:szCs w:val="26"/>
      <w:lang w:val="en-AU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08856257.2015.106007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lass.duth.gr/courses/KOM04428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sen.org.uk/NewsArticle.asp?id=SX98DC-A77F9FF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st.org/publications/ncac/ncac_diffinstru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ervatives.com/tile.do?def=news.story.page&amp;obj_id=13776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1692</Words>
  <Characters>9138</Characters>
  <Application>Microsoft Office Word</Application>
  <DocSecurity>0</DocSecurity>
  <Lines>76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ΠΕΡΙΓΡΑΜΜΑ ΜΑΘΗΜΑΤΟΣ</dc:title>
  <dc:subject>ΠΑΙΔΑΓΩΓΙΚΗ ΤΗΣ ΕΝΤΑΞΗΣ</dc:subject>
  <dc:creator>Μαντάς Παναγιώτης</dc:creator>
  <cp:keywords>ΜΠΣ</cp:keywords>
  <cp:lastModifiedBy>user</cp:lastModifiedBy>
  <cp:revision>4</cp:revision>
  <cp:lastPrinted>2021-01-15T07:09:00Z</cp:lastPrinted>
  <dcterms:created xsi:type="dcterms:W3CDTF">2021-10-03T11:37:00Z</dcterms:created>
  <dcterms:modified xsi:type="dcterms:W3CDTF">2021-10-03T11:49:00Z</dcterms:modified>
  <cp:category>ΣΤΑ ΑΓΓΛΙΚΑ</cp:category>
  <cp:contentStatus>ΤΕΛΙΚΗ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77751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D9.0.3</vt:lpwstr>
  </property>
</Properties>
</file>